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B0560" w14:textId="41629DB1" w:rsidR="00931A5B" w:rsidRDefault="000962E3" w:rsidP="00FD5599">
      <w:pPr>
        <w:jc w:val="center"/>
        <w:rPr>
          <w:b/>
          <w:bCs/>
          <w:u w:val="single"/>
        </w:rPr>
      </w:pPr>
      <w:r w:rsidRPr="000962E3">
        <w:rPr>
          <w:b/>
          <w:bCs/>
          <w:u w:val="single"/>
        </w:rPr>
        <w:t>IEEE DEI-Related Policies (Summary)</w:t>
      </w:r>
    </w:p>
    <w:p w14:paraId="022F1EDB" w14:textId="782D9994" w:rsidR="002E3AE4" w:rsidRDefault="002E3AE4" w:rsidP="002E3AE4">
      <w:pPr>
        <w:rPr>
          <w:b/>
          <w:bCs/>
          <w:u w:val="single"/>
        </w:rPr>
      </w:pPr>
      <w:r>
        <w:rPr>
          <w:b/>
          <w:bCs/>
          <w:u w:val="single"/>
        </w:rPr>
        <w:t>Global IEEE Policies</w:t>
      </w:r>
    </w:p>
    <w:p w14:paraId="3289B07C" w14:textId="6E58D4A4" w:rsidR="0086401A" w:rsidRPr="0054699D" w:rsidRDefault="002E3AE4" w:rsidP="0054699D">
      <w:pPr>
        <w:pStyle w:val="ListParagraph"/>
        <w:numPr>
          <w:ilvl w:val="0"/>
          <w:numId w:val="5"/>
        </w:numPr>
        <w:spacing w:line="360" w:lineRule="auto"/>
        <w:rPr>
          <w:i/>
          <w:iCs/>
        </w:rPr>
      </w:pPr>
      <w:r w:rsidRPr="002E3AE4">
        <w:rPr>
          <w:i/>
          <w:iCs/>
        </w:rPr>
        <w:t>Accessibility Statement</w:t>
      </w:r>
    </w:p>
    <w:p w14:paraId="17A41EB7" w14:textId="022FBE6C" w:rsidR="0086401A" w:rsidRPr="00692FEC" w:rsidRDefault="002E3AE4" w:rsidP="00692FEC">
      <w:pPr>
        <w:pStyle w:val="ListParagraph"/>
        <w:shd w:val="clear" w:color="auto" w:fill="FFFFFF"/>
        <w:rPr>
          <w:rFonts w:cs="Open Sans"/>
          <w:color w:val="000000"/>
          <w:sz w:val="20"/>
          <w:szCs w:val="20"/>
        </w:rPr>
      </w:pPr>
      <w:r w:rsidRPr="00E65F75">
        <w:rPr>
          <w:rFonts w:cs="Open Sans"/>
          <w:color w:val="000000"/>
          <w:sz w:val="20"/>
          <w:szCs w:val="20"/>
        </w:rPr>
        <w:t xml:space="preserve">IEEE </w:t>
      </w:r>
      <w:r w:rsidR="00964FD5">
        <w:rPr>
          <w:rFonts w:cs="Open Sans"/>
          <w:color w:val="000000"/>
          <w:sz w:val="20"/>
          <w:szCs w:val="20"/>
        </w:rPr>
        <w:t>is committed</w:t>
      </w:r>
      <w:r w:rsidRPr="00E65F75">
        <w:rPr>
          <w:rFonts w:cs="Open Sans"/>
          <w:color w:val="000000"/>
          <w:sz w:val="20"/>
          <w:szCs w:val="20"/>
        </w:rPr>
        <w:t xml:space="preserve"> to provid</w:t>
      </w:r>
      <w:r w:rsidR="00964FD5">
        <w:rPr>
          <w:rFonts w:cs="Open Sans"/>
          <w:color w:val="000000"/>
          <w:sz w:val="20"/>
          <w:szCs w:val="20"/>
        </w:rPr>
        <w:t>ing</w:t>
      </w:r>
      <w:r w:rsidRPr="00E65F75">
        <w:rPr>
          <w:rFonts w:cs="Open Sans"/>
          <w:color w:val="000000"/>
          <w:sz w:val="20"/>
          <w:szCs w:val="20"/>
        </w:rPr>
        <w:t xml:space="preserve"> an accessible web presence </w:t>
      </w:r>
      <w:r w:rsidR="00964FD5">
        <w:rPr>
          <w:rFonts w:cs="Open Sans"/>
          <w:color w:val="000000"/>
          <w:sz w:val="20"/>
          <w:szCs w:val="20"/>
        </w:rPr>
        <w:t>for</w:t>
      </w:r>
      <w:r w:rsidRPr="00E65F75">
        <w:rPr>
          <w:rFonts w:cs="Open Sans"/>
          <w:color w:val="000000"/>
          <w:sz w:val="20"/>
          <w:szCs w:val="20"/>
        </w:rPr>
        <w:t xml:space="preserve"> all </w:t>
      </w:r>
      <w:r w:rsidR="00964FD5">
        <w:rPr>
          <w:rFonts w:cs="Open Sans"/>
          <w:color w:val="000000"/>
          <w:sz w:val="20"/>
          <w:szCs w:val="20"/>
        </w:rPr>
        <w:t>individuals</w:t>
      </w:r>
      <w:r w:rsidRPr="00E65F75">
        <w:rPr>
          <w:rFonts w:cs="Open Sans"/>
          <w:color w:val="000000"/>
          <w:sz w:val="20"/>
          <w:szCs w:val="20"/>
        </w:rPr>
        <w:t xml:space="preserve">, regardless of disabilities. To support this commitment, IEEE has adopted the W3C's Web Content Accessibility Guidelines (WCAG) 2.0 Level A as the </w:t>
      </w:r>
      <w:r w:rsidR="00964FD5">
        <w:rPr>
          <w:rFonts w:cs="Open Sans"/>
          <w:color w:val="000000"/>
          <w:sz w:val="20"/>
          <w:szCs w:val="20"/>
        </w:rPr>
        <w:t>organization’s</w:t>
      </w:r>
      <w:r w:rsidRPr="00E65F75">
        <w:rPr>
          <w:rFonts w:cs="Open Sans"/>
          <w:color w:val="000000"/>
          <w:sz w:val="20"/>
          <w:szCs w:val="20"/>
        </w:rPr>
        <w:t xml:space="preserve"> Web Accessibility objective. However, IEEE web publishers are encouraged to deliver content at higher accessibility levels (Level AA or Level AAA) whenever possible.</w:t>
      </w:r>
      <w:r w:rsidR="0086401A" w:rsidRPr="00E65F75">
        <w:rPr>
          <w:rFonts w:cs="Open Sans"/>
          <w:color w:val="000000"/>
          <w:sz w:val="20"/>
          <w:szCs w:val="20"/>
        </w:rPr>
        <w:t xml:space="preserve"> If you have any general questions or concerns about accessibility on IEEE </w:t>
      </w:r>
      <w:r w:rsidR="0086401A" w:rsidRPr="00E65F75">
        <w:rPr>
          <w:rFonts w:cs="Open Sans"/>
          <w:i/>
          <w:iCs/>
          <w:color w:val="000000"/>
          <w:sz w:val="20"/>
          <w:szCs w:val="20"/>
        </w:rPr>
        <w:t>Xplore</w:t>
      </w:r>
      <w:r w:rsidR="0086401A" w:rsidRPr="00E65F75">
        <w:rPr>
          <w:rFonts w:cs="Open Sans"/>
          <w:color w:val="000000"/>
          <w:sz w:val="20"/>
          <w:szCs w:val="20"/>
        </w:rPr>
        <w:t>, please contact </w:t>
      </w:r>
      <w:hyperlink r:id="rId7" w:tgtFrame="_blank" w:history="1">
        <w:r w:rsidR="0086401A" w:rsidRPr="00E65F75">
          <w:rPr>
            <w:rStyle w:val="Hyperlink"/>
            <w:rFonts w:cs="Open Sans"/>
            <w:sz w:val="20"/>
            <w:szCs w:val="20"/>
          </w:rPr>
          <w:t>onlinesupport@ieee.org</w:t>
        </w:r>
      </w:hyperlink>
      <w:r w:rsidR="0086401A" w:rsidRPr="00E65F75">
        <w:rPr>
          <w:rFonts w:cs="Open Sans"/>
          <w:color w:val="000000"/>
          <w:sz w:val="20"/>
          <w:szCs w:val="20"/>
        </w:rPr>
        <w:t>.</w:t>
      </w:r>
      <w:r w:rsidR="00692FEC">
        <w:rPr>
          <w:rFonts w:cs="Open Sans"/>
          <w:color w:val="000000"/>
          <w:sz w:val="20"/>
          <w:szCs w:val="20"/>
        </w:rPr>
        <w:t xml:space="preserve"> </w:t>
      </w:r>
      <w:r w:rsidR="0086401A" w:rsidRPr="00692FEC">
        <w:rPr>
          <w:rFonts w:cs="Open Sans"/>
          <w:color w:val="000000"/>
          <w:sz w:val="20"/>
          <w:szCs w:val="20"/>
        </w:rPr>
        <w:t>For more details</w:t>
      </w:r>
      <w:r w:rsidR="0054699D" w:rsidRPr="00692FEC">
        <w:rPr>
          <w:rFonts w:cs="Open Sans"/>
          <w:color w:val="000000"/>
          <w:sz w:val="20"/>
          <w:szCs w:val="20"/>
        </w:rPr>
        <w:t xml:space="preserve"> about the statement</w:t>
      </w:r>
      <w:r w:rsidR="0086401A" w:rsidRPr="00692FEC">
        <w:rPr>
          <w:rFonts w:cs="Open Sans"/>
          <w:color w:val="000000"/>
          <w:sz w:val="20"/>
          <w:szCs w:val="20"/>
        </w:rPr>
        <w:t xml:space="preserve">, you may </w:t>
      </w:r>
      <w:hyperlink r:id="rId8" w:history="1">
        <w:r w:rsidR="0086401A" w:rsidRPr="00692FEC">
          <w:rPr>
            <w:rStyle w:val="Hyperlink"/>
            <w:rFonts w:cs="Open Sans"/>
            <w:color w:val="107FA8"/>
            <w:sz w:val="20"/>
            <w:szCs w:val="20"/>
          </w:rPr>
          <w:t>view the accessibility statement for IEEE </w:t>
        </w:r>
        <w:r w:rsidR="0086401A" w:rsidRPr="00692FEC">
          <w:rPr>
            <w:rStyle w:val="Hyperlink"/>
            <w:rFonts w:cs="Open Sans"/>
            <w:i/>
            <w:iCs/>
            <w:color w:val="107FA8"/>
            <w:sz w:val="20"/>
            <w:szCs w:val="20"/>
          </w:rPr>
          <w:t>Xplore</w:t>
        </w:r>
        <w:r w:rsidR="0086401A" w:rsidRPr="00692FEC">
          <w:rPr>
            <w:rStyle w:val="Hyperlink"/>
            <w:rFonts w:cs="Open Sans"/>
            <w:i/>
            <w:iCs/>
            <w:color w:val="107FA8"/>
            <w:sz w:val="20"/>
            <w:szCs w:val="20"/>
            <w:vertAlign w:val="superscript"/>
          </w:rPr>
          <w:t>®</w:t>
        </w:r>
      </w:hyperlink>
      <w:r w:rsidR="0086401A" w:rsidRPr="00692FEC">
        <w:rPr>
          <w:rFonts w:cs="Open Sans"/>
          <w:color w:val="000000"/>
          <w:sz w:val="20"/>
          <w:szCs w:val="20"/>
        </w:rPr>
        <w:t>.</w:t>
      </w:r>
    </w:p>
    <w:p w14:paraId="1E446AF2" w14:textId="77777777" w:rsidR="0086401A" w:rsidRPr="00E65F75" w:rsidRDefault="0086401A" w:rsidP="0086401A">
      <w:pPr>
        <w:pStyle w:val="ListParagraph"/>
        <w:shd w:val="clear" w:color="auto" w:fill="FFFFFF"/>
        <w:rPr>
          <w:rFonts w:cs="Open Sans"/>
          <w:color w:val="000000"/>
          <w:sz w:val="20"/>
          <w:szCs w:val="20"/>
        </w:rPr>
      </w:pPr>
    </w:p>
    <w:p w14:paraId="6D8E44F9" w14:textId="4DBA4071" w:rsidR="00F423B2" w:rsidRDefault="00F423B2" w:rsidP="002E3AE4">
      <w:pPr>
        <w:pStyle w:val="ListParagraph"/>
        <w:shd w:val="clear" w:color="auto" w:fill="FFFFFF"/>
        <w:rPr>
          <w:rStyle w:val="Hyperlink"/>
          <w:rFonts w:cs="Open Sans"/>
          <w:sz w:val="20"/>
          <w:szCs w:val="20"/>
        </w:rPr>
      </w:pPr>
      <w:r w:rsidRPr="00E65F75">
        <w:rPr>
          <w:rFonts w:cs="Open Sans"/>
          <w:color w:val="000000"/>
          <w:sz w:val="20"/>
          <w:szCs w:val="20"/>
        </w:rPr>
        <w:t>Original source</w:t>
      </w:r>
      <w:r w:rsidR="00A770D0">
        <w:rPr>
          <w:rFonts w:cs="Open Sans"/>
          <w:color w:val="000000"/>
          <w:sz w:val="20"/>
          <w:szCs w:val="20"/>
        </w:rPr>
        <w:t>s</w:t>
      </w:r>
      <w:r w:rsidRPr="00E65F75">
        <w:rPr>
          <w:rFonts w:cs="Open Sans"/>
          <w:color w:val="000000"/>
          <w:sz w:val="20"/>
          <w:szCs w:val="20"/>
        </w:rPr>
        <w:t xml:space="preserve">: </w:t>
      </w:r>
      <w:hyperlink r:id="rId9" w:history="1">
        <w:r w:rsidRPr="00E65F75">
          <w:rPr>
            <w:rStyle w:val="Hyperlink"/>
            <w:rFonts w:cs="Open Sans"/>
            <w:sz w:val="20"/>
            <w:szCs w:val="20"/>
          </w:rPr>
          <w:t>IEEE - Accessibility Statement</w:t>
        </w:r>
      </w:hyperlink>
    </w:p>
    <w:p w14:paraId="0EAE3F2C" w14:textId="0018FAD9" w:rsidR="00A770D0" w:rsidRPr="00E65F75" w:rsidRDefault="00A770D0" w:rsidP="002E3AE4">
      <w:pPr>
        <w:pStyle w:val="ListParagraph"/>
        <w:shd w:val="clear" w:color="auto" w:fill="FFFFFF"/>
        <w:rPr>
          <w:rFonts w:cs="Open Sans"/>
          <w:color w:val="000000"/>
          <w:sz w:val="20"/>
          <w:szCs w:val="20"/>
        </w:rPr>
      </w:pPr>
      <w:r>
        <w:rPr>
          <w:rFonts w:cs="Open Sans"/>
          <w:color w:val="000000"/>
          <w:sz w:val="20"/>
          <w:szCs w:val="20"/>
        </w:rPr>
        <w:t xml:space="preserve">                                     </w:t>
      </w:r>
      <w:hyperlink r:id="rId10" w:history="1">
        <w:r w:rsidRPr="00A770D0">
          <w:rPr>
            <w:rStyle w:val="Hyperlink"/>
            <w:rFonts w:cs="Open Sans"/>
            <w:sz w:val="20"/>
            <w:szCs w:val="20"/>
          </w:rPr>
          <w:t>Accessibility Statement (ieee.org)</w:t>
        </w:r>
      </w:hyperlink>
    </w:p>
    <w:p w14:paraId="4C475955" w14:textId="77777777" w:rsidR="002E3AE4" w:rsidRDefault="002E3AE4" w:rsidP="002E3AE4">
      <w:pPr>
        <w:shd w:val="clear" w:color="auto" w:fill="FFFFFF"/>
        <w:rPr>
          <w:rFonts w:asciiTheme="majorHAnsi" w:hAnsiTheme="majorHAnsi" w:cs="Open Sans"/>
          <w:color w:val="000000"/>
        </w:rPr>
      </w:pPr>
    </w:p>
    <w:p w14:paraId="289DD90C" w14:textId="40CCCA72" w:rsidR="002E3AE4" w:rsidRDefault="00F423B2" w:rsidP="00D02BC2">
      <w:pPr>
        <w:pStyle w:val="ListParagraph"/>
        <w:numPr>
          <w:ilvl w:val="0"/>
          <w:numId w:val="5"/>
        </w:numPr>
        <w:shd w:val="clear" w:color="auto" w:fill="FFFFFF"/>
        <w:spacing w:line="360" w:lineRule="auto"/>
        <w:rPr>
          <w:rFonts w:asciiTheme="majorHAnsi" w:hAnsiTheme="majorHAnsi" w:cs="Open Sans"/>
          <w:i/>
          <w:iCs/>
          <w:color w:val="000000"/>
        </w:rPr>
      </w:pPr>
      <w:r w:rsidRPr="00F423B2">
        <w:rPr>
          <w:rFonts w:asciiTheme="majorHAnsi" w:hAnsiTheme="majorHAnsi" w:cs="Open Sans"/>
          <w:i/>
          <w:iCs/>
          <w:color w:val="000000"/>
        </w:rPr>
        <w:t>IEEE Code of Ethics</w:t>
      </w:r>
    </w:p>
    <w:p w14:paraId="08773622" w14:textId="1F47EEF3" w:rsidR="003D36BF" w:rsidRPr="00692FEC" w:rsidRDefault="000370BB" w:rsidP="00692FEC">
      <w:pPr>
        <w:pStyle w:val="ListParagraph"/>
        <w:rPr>
          <w:rFonts w:cs="Open Sans"/>
          <w:color w:val="000000"/>
          <w:sz w:val="20"/>
          <w:szCs w:val="20"/>
        </w:rPr>
      </w:pPr>
      <w:r>
        <w:rPr>
          <w:rFonts w:cs="Open Sans"/>
          <w:color w:val="000000"/>
          <w:sz w:val="20"/>
          <w:szCs w:val="20"/>
        </w:rPr>
        <w:t>In</w:t>
      </w:r>
      <w:r w:rsidR="006318D4" w:rsidRPr="00E65F75">
        <w:rPr>
          <w:rFonts w:cs="Open Sans"/>
          <w:color w:val="000000"/>
          <w:sz w:val="20"/>
          <w:szCs w:val="20"/>
        </w:rPr>
        <w:t xml:space="preserve"> accepting a personal obligation to the profession, its members, and the communities we serve, it is codified in the Code of Ethics that IEEE members must treat all persons fairly and with respect, not engage in harassment nor discrimination, and avoid injuring others. Additionally, all members should strive to ensure the code is upheld by colleagues and co-workers.</w:t>
      </w:r>
      <w:r w:rsidR="00706832" w:rsidRPr="00E65F75">
        <w:rPr>
          <w:rFonts w:cs="Open Sans"/>
          <w:color w:val="000000"/>
          <w:sz w:val="20"/>
          <w:szCs w:val="20"/>
        </w:rPr>
        <w:t xml:space="preserve"> </w:t>
      </w:r>
      <w:r w:rsidR="003D36BF" w:rsidRPr="00692FEC">
        <w:rPr>
          <w:rFonts w:cs="Open Sans"/>
          <w:color w:val="000000"/>
          <w:sz w:val="20"/>
          <w:szCs w:val="20"/>
        </w:rPr>
        <w:t>For</w:t>
      </w:r>
      <w:r w:rsidR="00692FEC">
        <w:rPr>
          <w:rFonts w:cs="Open Sans"/>
          <w:color w:val="000000"/>
          <w:sz w:val="20"/>
          <w:szCs w:val="20"/>
        </w:rPr>
        <w:t xml:space="preserve"> </w:t>
      </w:r>
      <w:r w:rsidR="003D36BF" w:rsidRPr="00692FEC">
        <w:rPr>
          <w:rFonts w:cs="Open Sans"/>
          <w:color w:val="000000"/>
          <w:sz w:val="20"/>
          <w:szCs w:val="20"/>
        </w:rPr>
        <w:t xml:space="preserve">details of the </w:t>
      </w:r>
      <w:r w:rsidR="00706832" w:rsidRPr="00692FEC">
        <w:rPr>
          <w:rFonts w:cs="Open Sans"/>
          <w:color w:val="000000"/>
          <w:sz w:val="20"/>
          <w:szCs w:val="20"/>
        </w:rPr>
        <w:t xml:space="preserve">IEEE </w:t>
      </w:r>
      <w:r w:rsidR="003D36BF" w:rsidRPr="00692FEC">
        <w:rPr>
          <w:rFonts w:cs="Open Sans"/>
          <w:color w:val="000000"/>
          <w:sz w:val="20"/>
          <w:szCs w:val="20"/>
        </w:rPr>
        <w:t>Code</w:t>
      </w:r>
      <w:r w:rsidR="00706832" w:rsidRPr="00692FEC">
        <w:rPr>
          <w:rFonts w:cs="Open Sans"/>
          <w:color w:val="000000"/>
          <w:sz w:val="20"/>
          <w:szCs w:val="20"/>
        </w:rPr>
        <w:t xml:space="preserve"> of Ethics</w:t>
      </w:r>
      <w:r w:rsidR="003D36BF" w:rsidRPr="00692FEC">
        <w:rPr>
          <w:rFonts w:cs="Open Sans"/>
          <w:color w:val="000000"/>
          <w:sz w:val="20"/>
          <w:szCs w:val="20"/>
        </w:rPr>
        <w:t xml:space="preserve"> and its revision procedures, please refer to the original source. </w:t>
      </w:r>
    </w:p>
    <w:p w14:paraId="0F142339" w14:textId="4F447B1F" w:rsidR="00F423B2" w:rsidRPr="00E65F75" w:rsidRDefault="00F423B2" w:rsidP="003D36BF">
      <w:pPr>
        <w:shd w:val="clear" w:color="auto" w:fill="FFFFFF"/>
        <w:ind w:firstLine="720"/>
        <w:rPr>
          <w:rFonts w:cs="Open Sans"/>
          <w:color w:val="000000"/>
          <w:sz w:val="20"/>
          <w:szCs w:val="20"/>
        </w:rPr>
      </w:pPr>
      <w:r w:rsidRPr="00E65F75">
        <w:rPr>
          <w:rFonts w:cs="Open Sans"/>
          <w:color w:val="000000"/>
          <w:sz w:val="20"/>
          <w:szCs w:val="20"/>
        </w:rPr>
        <w:t xml:space="preserve">Original Source: </w:t>
      </w:r>
      <w:hyperlink r:id="rId11" w:history="1">
        <w:r w:rsidRPr="00E65F75">
          <w:rPr>
            <w:rStyle w:val="Hyperlink"/>
            <w:rFonts w:cs="Open Sans"/>
            <w:sz w:val="20"/>
            <w:szCs w:val="20"/>
          </w:rPr>
          <w:t>IEEE - IEEE Code of Ethics</w:t>
        </w:r>
      </w:hyperlink>
    </w:p>
    <w:p w14:paraId="0FA3AB8F" w14:textId="77777777" w:rsidR="00F423B2" w:rsidRDefault="00F423B2" w:rsidP="00F423B2">
      <w:pPr>
        <w:pStyle w:val="ListParagraph"/>
        <w:shd w:val="clear" w:color="auto" w:fill="FFFFFF"/>
        <w:rPr>
          <w:rFonts w:asciiTheme="majorHAnsi" w:hAnsiTheme="majorHAnsi" w:cs="Open Sans"/>
          <w:color w:val="000000"/>
        </w:rPr>
      </w:pPr>
    </w:p>
    <w:p w14:paraId="2A9CA707" w14:textId="75EDF832" w:rsidR="006F01A7" w:rsidRPr="000A196E" w:rsidRDefault="00F423B2" w:rsidP="006F01A7">
      <w:pPr>
        <w:pStyle w:val="ListParagraph"/>
        <w:numPr>
          <w:ilvl w:val="0"/>
          <w:numId w:val="5"/>
        </w:numPr>
        <w:shd w:val="clear" w:color="auto" w:fill="FFFFFF"/>
        <w:spacing w:line="360" w:lineRule="auto"/>
        <w:rPr>
          <w:rFonts w:asciiTheme="majorHAnsi" w:hAnsiTheme="majorHAnsi" w:cs="Open Sans"/>
          <w:i/>
          <w:iCs/>
          <w:color w:val="000000"/>
        </w:rPr>
      </w:pPr>
      <w:r w:rsidRPr="000A196E">
        <w:rPr>
          <w:rFonts w:asciiTheme="majorHAnsi" w:hAnsiTheme="majorHAnsi" w:cs="Open Sans"/>
          <w:i/>
          <w:iCs/>
          <w:color w:val="000000"/>
        </w:rPr>
        <w:t>Ethics Reporting Line</w:t>
      </w:r>
    </w:p>
    <w:p w14:paraId="05FB5BD3" w14:textId="2486D6F8" w:rsidR="000A196E" w:rsidRDefault="006F01A7" w:rsidP="000A196E">
      <w:pPr>
        <w:pStyle w:val="ListParagraph"/>
        <w:shd w:val="clear" w:color="auto" w:fill="FFFFFF"/>
        <w:rPr>
          <w:rFonts w:cs="Open Sans"/>
          <w:color w:val="000000"/>
          <w:sz w:val="20"/>
          <w:szCs w:val="20"/>
        </w:rPr>
      </w:pPr>
      <w:r w:rsidRPr="00E65F75">
        <w:rPr>
          <w:rFonts w:cs="Open Sans"/>
          <w:color w:val="000000"/>
          <w:sz w:val="20"/>
          <w:szCs w:val="20"/>
        </w:rPr>
        <w:t xml:space="preserve">As IEEE strives to </w:t>
      </w:r>
      <w:r w:rsidR="00977C2A">
        <w:rPr>
          <w:rFonts w:cs="Open Sans"/>
          <w:color w:val="000000"/>
          <w:sz w:val="20"/>
          <w:szCs w:val="20"/>
        </w:rPr>
        <w:t>uphold</w:t>
      </w:r>
      <w:r w:rsidRPr="00E65F75">
        <w:rPr>
          <w:rFonts w:cs="Open Sans"/>
          <w:color w:val="000000"/>
          <w:sz w:val="20"/>
          <w:szCs w:val="20"/>
        </w:rPr>
        <w:t xml:space="preserve"> the highest standards of integrity and endeavors to conduct business </w:t>
      </w:r>
      <w:r w:rsidR="00500E10">
        <w:rPr>
          <w:rFonts w:cs="Open Sans"/>
          <w:color w:val="000000"/>
          <w:sz w:val="20"/>
          <w:szCs w:val="20"/>
        </w:rPr>
        <w:t>worldwide</w:t>
      </w:r>
      <w:r w:rsidRPr="00E65F75">
        <w:rPr>
          <w:rFonts w:cs="Open Sans"/>
          <w:color w:val="000000"/>
          <w:sz w:val="20"/>
          <w:szCs w:val="20"/>
        </w:rPr>
        <w:t xml:space="preserve"> in a responsible and ethical </w:t>
      </w:r>
      <w:r w:rsidR="00977C2A">
        <w:rPr>
          <w:rFonts w:cs="Open Sans"/>
          <w:color w:val="000000"/>
          <w:sz w:val="20"/>
          <w:szCs w:val="20"/>
        </w:rPr>
        <w:t>manner</w:t>
      </w:r>
      <w:r w:rsidRPr="00E65F75">
        <w:rPr>
          <w:rFonts w:cs="Open Sans"/>
          <w:color w:val="000000"/>
          <w:sz w:val="20"/>
          <w:szCs w:val="20"/>
        </w:rPr>
        <w:t xml:space="preserve">, it is crucial that those who act on the organization’s behalf ensure IEEE’s compliance by adhering to the same standards and expectations. </w:t>
      </w:r>
      <w:r w:rsidR="00586360">
        <w:rPr>
          <w:rFonts w:cs="Open Sans"/>
          <w:color w:val="000000"/>
          <w:sz w:val="20"/>
          <w:szCs w:val="20"/>
        </w:rPr>
        <w:t>If</w:t>
      </w:r>
      <w:r w:rsidRPr="00E65F75">
        <w:rPr>
          <w:rFonts w:cs="Open Sans"/>
          <w:color w:val="000000"/>
          <w:sz w:val="20"/>
          <w:szCs w:val="20"/>
        </w:rPr>
        <w:t xml:space="preserve"> you become aware of or suspect a violation of IEEE’s Code of Ethics, Code of Conduct or Policies, you may report </w:t>
      </w:r>
      <w:r w:rsidR="00586360">
        <w:rPr>
          <w:rFonts w:cs="Open Sans"/>
          <w:color w:val="000000"/>
          <w:sz w:val="20"/>
          <w:szCs w:val="20"/>
        </w:rPr>
        <w:t xml:space="preserve">it </w:t>
      </w:r>
      <w:r w:rsidRPr="00E65F75">
        <w:rPr>
          <w:rFonts w:cs="Open Sans"/>
          <w:color w:val="000000"/>
          <w:sz w:val="20"/>
          <w:szCs w:val="20"/>
        </w:rPr>
        <w:t>to</w:t>
      </w:r>
      <w:r w:rsidR="00D24D5D" w:rsidRPr="00E65F75">
        <w:rPr>
          <w:rFonts w:cs="Open Sans"/>
          <w:color w:val="000000"/>
          <w:sz w:val="20"/>
          <w:szCs w:val="20"/>
        </w:rPr>
        <w:t xml:space="preserve"> </w:t>
      </w:r>
      <w:proofErr w:type="spellStart"/>
      <w:r w:rsidR="00D24D5D" w:rsidRPr="00E65F75">
        <w:rPr>
          <w:rFonts w:cs="Open Sans"/>
          <w:color w:val="000000"/>
          <w:sz w:val="20"/>
          <w:szCs w:val="20"/>
        </w:rPr>
        <w:t>EthicsPoint</w:t>
      </w:r>
      <w:proofErr w:type="spellEnd"/>
      <w:r w:rsidR="00D24D5D" w:rsidRPr="00E65F75">
        <w:rPr>
          <w:rFonts w:cs="Open Sans"/>
          <w:color w:val="000000"/>
          <w:sz w:val="20"/>
          <w:szCs w:val="20"/>
        </w:rPr>
        <w:t>, an independent third party for the receipt and resolution of reports of impropriety</w:t>
      </w:r>
      <w:r w:rsidR="000B3D1E">
        <w:rPr>
          <w:rFonts w:cs="Open Sans"/>
          <w:color w:val="000000"/>
          <w:sz w:val="20"/>
          <w:szCs w:val="20"/>
        </w:rPr>
        <w:t xml:space="preserve"> on IEEE’s behalf</w:t>
      </w:r>
      <w:r w:rsidR="00D24D5D" w:rsidRPr="00E65F75">
        <w:rPr>
          <w:rFonts w:cs="Open Sans"/>
          <w:color w:val="000000"/>
          <w:sz w:val="20"/>
          <w:szCs w:val="20"/>
        </w:rPr>
        <w:t xml:space="preserve">. The information you provide will be </w:t>
      </w:r>
      <w:r w:rsidR="000B3D1E">
        <w:rPr>
          <w:rFonts w:cs="Open Sans"/>
          <w:color w:val="000000"/>
          <w:sz w:val="20"/>
          <w:szCs w:val="20"/>
        </w:rPr>
        <w:t xml:space="preserve">kept </w:t>
      </w:r>
      <w:r w:rsidR="00D24D5D" w:rsidRPr="00E65F75">
        <w:rPr>
          <w:rFonts w:cs="Open Sans"/>
          <w:color w:val="000000"/>
          <w:sz w:val="20"/>
          <w:szCs w:val="20"/>
        </w:rPr>
        <w:t xml:space="preserve">entirely confidential, and the Ethics at IEEE </w:t>
      </w:r>
      <w:r w:rsidR="000B3D1E">
        <w:rPr>
          <w:rFonts w:cs="Open Sans"/>
          <w:color w:val="000000"/>
          <w:sz w:val="20"/>
          <w:szCs w:val="20"/>
        </w:rPr>
        <w:t>is committed</w:t>
      </w:r>
      <w:r w:rsidR="00D24D5D" w:rsidRPr="00E65F75">
        <w:rPr>
          <w:rFonts w:cs="Open Sans"/>
          <w:color w:val="000000"/>
          <w:sz w:val="20"/>
          <w:szCs w:val="20"/>
        </w:rPr>
        <w:t xml:space="preserve"> to treat</w:t>
      </w:r>
      <w:r w:rsidR="000B3D1E">
        <w:rPr>
          <w:rFonts w:cs="Open Sans"/>
          <w:color w:val="000000"/>
          <w:sz w:val="20"/>
          <w:szCs w:val="20"/>
        </w:rPr>
        <w:t>ing</w:t>
      </w:r>
      <w:r w:rsidR="00D24D5D" w:rsidRPr="00E65F75">
        <w:rPr>
          <w:rFonts w:cs="Open Sans"/>
          <w:color w:val="000000"/>
          <w:sz w:val="20"/>
          <w:szCs w:val="20"/>
        </w:rPr>
        <w:t xml:space="preserve"> you with dignity and respect throughout the process. </w:t>
      </w:r>
      <w:r w:rsidR="000B3D1E">
        <w:rPr>
          <w:rFonts w:cs="Open Sans"/>
          <w:color w:val="000000"/>
          <w:sz w:val="20"/>
          <w:szCs w:val="20"/>
        </w:rPr>
        <w:t>Additionally,</w:t>
      </w:r>
      <w:r w:rsidR="00D24D5D" w:rsidRPr="00E65F75">
        <w:rPr>
          <w:rFonts w:cs="Open Sans"/>
          <w:color w:val="000000"/>
          <w:sz w:val="20"/>
          <w:szCs w:val="20"/>
        </w:rPr>
        <w:t xml:space="preserve"> IEEE has a </w:t>
      </w:r>
      <w:r w:rsidR="006F6883">
        <w:rPr>
          <w:rFonts w:cs="Open Sans"/>
          <w:color w:val="000000"/>
          <w:sz w:val="20"/>
          <w:szCs w:val="20"/>
        </w:rPr>
        <w:t xml:space="preserve">strict </w:t>
      </w:r>
      <w:r w:rsidR="00D24D5D" w:rsidRPr="00E65F75">
        <w:rPr>
          <w:rFonts w:cs="Open Sans"/>
          <w:color w:val="000000"/>
          <w:sz w:val="20"/>
          <w:szCs w:val="20"/>
        </w:rPr>
        <w:t>non-retaliation policy</w:t>
      </w:r>
      <w:r w:rsidR="000B3D1E">
        <w:rPr>
          <w:rFonts w:cs="Open Sans"/>
          <w:color w:val="000000"/>
          <w:sz w:val="20"/>
          <w:szCs w:val="20"/>
        </w:rPr>
        <w:t>: it does not permit</w:t>
      </w:r>
      <w:r w:rsidR="00D24D5D" w:rsidRPr="00E65F75">
        <w:rPr>
          <w:rFonts w:cs="Open Sans"/>
          <w:color w:val="000000"/>
          <w:sz w:val="20"/>
          <w:szCs w:val="20"/>
        </w:rPr>
        <w:t xml:space="preserve"> any retaliatory action against any director, officer, manager, employee or volunteer for raising a good faith compliance or ethics concern</w:t>
      </w:r>
      <w:r w:rsidR="006F6883">
        <w:rPr>
          <w:rFonts w:cs="Open Sans"/>
          <w:color w:val="000000"/>
          <w:sz w:val="20"/>
          <w:szCs w:val="20"/>
        </w:rPr>
        <w:t>;</w:t>
      </w:r>
      <w:r w:rsidR="00D24D5D" w:rsidRPr="00E65F75">
        <w:rPr>
          <w:rFonts w:cs="Open Sans"/>
          <w:color w:val="000000"/>
          <w:sz w:val="20"/>
          <w:szCs w:val="20"/>
        </w:rPr>
        <w:t xml:space="preserve"> for making a good faith report of a possible violation of the IEEE Code of Ethics, Code of Conduct or IEEE Policies</w:t>
      </w:r>
      <w:r w:rsidR="006F6883">
        <w:rPr>
          <w:rFonts w:cs="Open Sans"/>
          <w:color w:val="000000"/>
          <w:sz w:val="20"/>
          <w:szCs w:val="20"/>
        </w:rPr>
        <w:t>;</w:t>
      </w:r>
      <w:r w:rsidR="00D24D5D" w:rsidRPr="00E65F75">
        <w:rPr>
          <w:rFonts w:cs="Open Sans"/>
          <w:color w:val="000000"/>
          <w:sz w:val="20"/>
          <w:szCs w:val="20"/>
        </w:rPr>
        <w:t xml:space="preserve"> or </w:t>
      </w:r>
      <w:r w:rsidR="000B3D1E">
        <w:rPr>
          <w:rFonts w:cs="Open Sans"/>
          <w:color w:val="000000"/>
          <w:sz w:val="20"/>
          <w:szCs w:val="20"/>
        </w:rPr>
        <w:t xml:space="preserve">for </w:t>
      </w:r>
      <w:r w:rsidR="00D24D5D" w:rsidRPr="00E65F75">
        <w:rPr>
          <w:rFonts w:cs="Open Sans"/>
          <w:color w:val="000000"/>
          <w:sz w:val="20"/>
          <w:szCs w:val="20"/>
        </w:rPr>
        <w:t>assisting or cooperating in an investigation of a possible violation.</w:t>
      </w:r>
      <w:r w:rsidR="000A196E">
        <w:rPr>
          <w:rFonts w:cs="Open Sans"/>
          <w:color w:val="000000"/>
          <w:sz w:val="20"/>
          <w:szCs w:val="20"/>
        </w:rPr>
        <w:t xml:space="preserve"> </w:t>
      </w:r>
    </w:p>
    <w:p w14:paraId="3645F328" w14:textId="77777777" w:rsidR="000A196E" w:rsidRDefault="000A196E" w:rsidP="000A196E">
      <w:pPr>
        <w:pStyle w:val="ListParagraph"/>
        <w:shd w:val="clear" w:color="auto" w:fill="FFFFFF"/>
        <w:rPr>
          <w:rFonts w:cs="Open Sans"/>
          <w:color w:val="000000"/>
          <w:sz w:val="20"/>
          <w:szCs w:val="20"/>
        </w:rPr>
      </w:pPr>
    </w:p>
    <w:p w14:paraId="41036B62" w14:textId="16FE566B" w:rsidR="000A196E" w:rsidRPr="000A196E" w:rsidRDefault="00D24D5D" w:rsidP="000A196E">
      <w:pPr>
        <w:pStyle w:val="ListParagraph"/>
        <w:shd w:val="clear" w:color="auto" w:fill="FFFFFF"/>
        <w:rPr>
          <w:rFonts w:cs="Open Sans"/>
          <w:color w:val="000000"/>
          <w:sz w:val="20"/>
          <w:szCs w:val="20"/>
        </w:rPr>
      </w:pPr>
      <w:r w:rsidRPr="000A196E">
        <w:rPr>
          <w:rFonts w:cs="Open Sans"/>
          <w:color w:val="000000"/>
          <w:sz w:val="20"/>
          <w:szCs w:val="20"/>
        </w:rPr>
        <w:t>For more details of the ethics reporting line and how to make a report, please visit the original source.</w:t>
      </w:r>
    </w:p>
    <w:p w14:paraId="505D89EC" w14:textId="77777777" w:rsidR="000A196E" w:rsidRDefault="000A196E" w:rsidP="000A196E">
      <w:pPr>
        <w:pStyle w:val="ListParagraph"/>
        <w:shd w:val="clear" w:color="auto" w:fill="FFFFFF"/>
        <w:rPr>
          <w:rFonts w:cs="Open Sans"/>
          <w:color w:val="000000"/>
          <w:sz w:val="20"/>
          <w:szCs w:val="20"/>
        </w:rPr>
      </w:pPr>
    </w:p>
    <w:p w14:paraId="47991C40" w14:textId="4EE99617" w:rsidR="000A196E" w:rsidRPr="00FD5599" w:rsidRDefault="00F423B2" w:rsidP="00FD5599">
      <w:pPr>
        <w:pStyle w:val="ListParagraph"/>
        <w:shd w:val="clear" w:color="auto" w:fill="FFFFFF"/>
        <w:rPr>
          <w:rFonts w:cs="Open Sans"/>
          <w:color w:val="467886" w:themeColor="hyperlink"/>
          <w:sz w:val="20"/>
          <w:szCs w:val="20"/>
          <w:u w:val="single"/>
        </w:rPr>
      </w:pPr>
      <w:r w:rsidRPr="00E65F75">
        <w:rPr>
          <w:rFonts w:cs="Open Sans"/>
          <w:color w:val="000000"/>
          <w:sz w:val="20"/>
          <w:szCs w:val="20"/>
        </w:rPr>
        <w:t xml:space="preserve">Original Source: </w:t>
      </w:r>
      <w:hyperlink r:id="rId12" w:history="1">
        <w:proofErr w:type="spellStart"/>
        <w:r w:rsidRPr="00E65F75">
          <w:rPr>
            <w:rStyle w:val="Hyperlink"/>
            <w:rFonts w:cs="Open Sans"/>
            <w:sz w:val="20"/>
            <w:szCs w:val="20"/>
          </w:rPr>
          <w:t>EthicsPoint</w:t>
        </w:r>
        <w:proofErr w:type="spellEnd"/>
        <w:r w:rsidRPr="00E65F75">
          <w:rPr>
            <w:rStyle w:val="Hyperlink"/>
            <w:rFonts w:cs="Open Sans"/>
            <w:sz w:val="20"/>
            <w:szCs w:val="20"/>
          </w:rPr>
          <w:t xml:space="preserve"> - Institute of Electrical and Electronics Engineers</w:t>
        </w:r>
      </w:hyperlink>
    </w:p>
    <w:p w14:paraId="279FD09B" w14:textId="77777777" w:rsidR="000B3D1E" w:rsidRPr="00E65F75" w:rsidRDefault="000B3D1E" w:rsidP="000A196E">
      <w:pPr>
        <w:pStyle w:val="ListParagraph"/>
        <w:shd w:val="clear" w:color="auto" w:fill="FFFFFF"/>
        <w:rPr>
          <w:rFonts w:cs="Open Sans"/>
          <w:color w:val="000000"/>
          <w:sz w:val="20"/>
          <w:szCs w:val="20"/>
        </w:rPr>
      </w:pPr>
    </w:p>
    <w:p w14:paraId="2DFBAC97" w14:textId="40C20D21" w:rsidR="00F423B2" w:rsidRPr="00FC2F6E" w:rsidRDefault="00F423B2" w:rsidP="00F423B2">
      <w:pPr>
        <w:pStyle w:val="ListParagraph"/>
        <w:numPr>
          <w:ilvl w:val="0"/>
          <w:numId w:val="5"/>
        </w:numPr>
        <w:shd w:val="clear" w:color="auto" w:fill="FFFFFF"/>
        <w:rPr>
          <w:rFonts w:asciiTheme="majorHAnsi" w:hAnsiTheme="majorHAnsi" w:cs="Open Sans"/>
          <w:i/>
          <w:iCs/>
          <w:color w:val="000000"/>
        </w:rPr>
      </w:pPr>
      <w:r w:rsidRPr="00FC2F6E">
        <w:rPr>
          <w:rFonts w:asciiTheme="majorHAnsi" w:hAnsiTheme="majorHAnsi" w:cs="Open Sans"/>
          <w:i/>
          <w:iCs/>
          <w:color w:val="000000"/>
        </w:rPr>
        <w:lastRenderedPageBreak/>
        <w:t>IEEE Event Conduct &amp; Safety Statement for Conferences</w:t>
      </w:r>
    </w:p>
    <w:p w14:paraId="65D4C00A" w14:textId="746DA268" w:rsidR="00493C4D" w:rsidRPr="00E65F75" w:rsidRDefault="00F423B2" w:rsidP="00493C4D">
      <w:pPr>
        <w:ind w:left="720"/>
        <w:rPr>
          <w:sz w:val="20"/>
          <w:szCs w:val="20"/>
        </w:rPr>
      </w:pPr>
      <w:r w:rsidRPr="00E65F75">
        <w:rPr>
          <w:sz w:val="20"/>
          <w:szCs w:val="20"/>
        </w:rPr>
        <w:t xml:space="preserve">IEEE believes in openness, international collaboration, and the free flow of talent and ideas. Meetings, conferences, and other events provide a forum for </w:t>
      </w:r>
      <w:r w:rsidR="00874DD4">
        <w:rPr>
          <w:sz w:val="20"/>
          <w:szCs w:val="20"/>
        </w:rPr>
        <w:t xml:space="preserve">exchanging </w:t>
      </w:r>
      <w:r w:rsidRPr="00E65F75">
        <w:rPr>
          <w:sz w:val="20"/>
          <w:szCs w:val="20"/>
        </w:rPr>
        <w:t>technical and humanitarian conversations.</w:t>
      </w:r>
      <w:r w:rsidR="00493C4D" w:rsidRPr="00E65F75">
        <w:rPr>
          <w:sz w:val="20"/>
          <w:szCs w:val="20"/>
        </w:rPr>
        <w:t xml:space="preserve"> IEEE is committed to providing a safe, productive, and welcoming environment to all participants, including staff and vendors, at IEEE-related events and has </w:t>
      </w:r>
      <w:r w:rsidR="00874DD4">
        <w:rPr>
          <w:sz w:val="20"/>
          <w:szCs w:val="20"/>
        </w:rPr>
        <w:t>zero</w:t>
      </w:r>
      <w:r w:rsidR="00493C4D" w:rsidRPr="00E65F75">
        <w:rPr>
          <w:sz w:val="20"/>
          <w:szCs w:val="20"/>
        </w:rPr>
        <w:t xml:space="preserve"> tolerance for discrimination, harassment, or bullying in any form. All participants have the right to pursue shared interests without harassment or discrimination in an environment that supports diversity and inclusion. Participants are expected to adhere to these principles and respect the rights of others. For any behavior inconsistent with the principles outlined here, participants should report to on</w:t>
      </w:r>
      <w:r w:rsidR="00874DD4">
        <w:rPr>
          <w:sz w:val="20"/>
          <w:szCs w:val="20"/>
        </w:rPr>
        <w:t>-</w:t>
      </w:r>
      <w:r w:rsidR="00493C4D" w:rsidRPr="00E65F75">
        <w:rPr>
          <w:sz w:val="20"/>
          <w:szCs w:val="20"/>
        </w:rPr>
        <w:t xml:space="preserve">site staff, security or venue personnel, or to </w:t>
      </w:r>
      <w:hyperlink r:id="rId13" w:history="1">
        <w:r w:rsidR="00493C4D" w:rsidRPr="00E65F75">
          <w:rPr>
            <w:rStyle w:val="Hyperlink"/>
            <w:sz w:val="20"/>
            <w:szCs w:val="20"/>
          </w:rPr>
          <w:t>eventconduct@ieee.org</w:t>
        </w:r>
      </w:hyperlink>
      <w:r w:rsidR="00493C4D" w:rsidRPr="00E65F75">
        <w:rPr>
          <w:rStyle w:val="Hyperlink"/>
          <w:color w:val="auto"/>
          <w:sz w:val="20"/>
          <w:szCs w:val="20"/>
        </w:rPr>
        <w:t>.</w:t>
      </w:r>
    </w:p>
    <w:p w14:paraId="62D37A51" w14:textId="4F1C0400" w:rsidR="00F423B2" w:rsidRPr="00E65F75" w:rsidRDefault="00F423B2" w:rsidP="00493C4D">
      <w:pPr>
        <w:ind w:firstLine="720"/>
        <w:rPr>
          <w:sz w:val="20"/>
          <w:szCs w:val="20"/>
        </w:rPr>
      </w:pPr>
      <w:r w:rsidRPr="00E65F75">
        <w:rPr>
          <w:sz w:val="20"/>
          <w:szCs w:val="20"/>
        </w:rPr>
        <w:t xml:space="preserve">Original Sources: </w:t>
      </w:r>
      <w:hyperlink r:id="rId14" w:history="1">
        <w:r w:rsidRPr="00E65F75">
          <w:rPr>
            <w:rStyle w:val="Hyperlink"/>
            <w:sz w:val="20"/>
            <w:szCs w:val="20"/>
          </w:rPr>
          <w:t>IEEE Event Conduct and Safety Statement for Conferences (ieeemce.org)</w:t>
        </w:r>
      </w:hyperlink>
    </w:p>
    <w:p w14:paraId="6A349DDA" w14:textId="52BF33FF" w:rsidR="00F423B2" w:rsidRDefault="00493C4D" w:rsidP="00493C4D">
      <w:pPr>
        <w:ind w:left="2160"/>
        <w:rPr>
          <w:rStyle w:val="Hyperlink"/>
          <w:sz w:val="20"/>
          <w:szCs w:val="20"/>
        </w:rPr>
      </w:pPr>
      <w:r w:rsidRPr="00E65F75">
        <w:rPr>
          <w:sz w:val="20"/>
          <w:szCs w:val="20"/>
        </w:rPr>
        <w:t xml:space="preserve">      </w:t>
      </w:r>
      <w:hyperlink r:id="rId15" w:history="1">
        <w:r w:rsidR="00F423B2" w:rsidRPr="00E65F75">
          <w:rPr>
            <w:rStyle w:val="Hyperlink"/>
            <w:sz w:val="20"/>
            <w:szCs w:val="20"/>
          </w:rPr>
          <w:t>Event Conduct and Safety Statement.pdf (ieee.org)</w:t>
        </w:r>
      </w:hyperlink>
    </w:p>
    <w:p w14:paraId="15416093" w14:textId="77777777" w:rsidR="00FC2F6E" w:rsidRPr="00F423B2" w:rsidRDefault="00FC2F6E" w:rsidP="00493C4D">
      <w:pPr>
        <w:ind w:left="2160"/>
      </w:pPr>
    </w:p>
    <w:p w14:paraId="3A726C92" w14:textId="39BF678F" w:rsidR="002E3AE4" w:rsidRPr="00FC2F6E" w:rsidRDefault="00F423B2" w:rsidP="003A30C1">
      <w:pPr>
        <w:pStyle w:val="ListParagraph"/>
        <w:numPr>
          <w:ilvl w:val="0"/>
          <w:numId w:val="5"/>
        </w:numPr>
        <w:spacing w:line="360" w:lineRule="auto"/>
        <w:rPr>
          <w:i/>
          <w:iCs/>
        </w:rPr>
      </w:pPr>
      <w:r w:rsidRPr="00FC2F6E">
        <w:rPr>
          <w:i/>
          <w:iCs/>
        </w:rPr>
        <w:t xml:space="preserve">Non-discrimination Policy </w:t>
      </w:r>
    </w:p>
    <w:p w14:paraId="559A1D83" w14:textId="03A859F5" w:rsidR="00F171CB" w:rsidRPr="00B04AD8" w:rsidRDefault="00F171CB" w:rsidP="00F423B2">
      <w:pPr>
        <w:pStyle w:val="ListParagraph"/>
        <w:rPr>
          <w:sz w:val="20"/>
          <w:szCs w:val="20"/>
        </w:rPr>
      </w:pPr>
      <w:r w:rsidRPr="00E65F75">
        <w:rPr>
          <w:sz w:val="20"/>
          <w:szCs w:val="20"/>
        </w:rPr>
        <w:t>IEEE prohibits discrimination, harassment, and bullying against any person for any reason</w:t>
      </w:r>
      <w:r w:rsidR="00234272">
        <w:rPr>
          <w:sz w:val="20"/>
          <w:szCs w:val="20"/>
        </w:rPr>
        <w:t>.</w:t>
      </w:r>
      <w:r w:rsidRPr="00E65F75">
        <w:rPr>
          <w:sz w:val="20"/>
          <w:szCs w:val="20"/>
        </w:rPr>
        <w:t xml:space="preserve"> </w:t>
      </w:r>
      <w:r w:rsidR="00234272">
        <w:rPr>
          <w:sz w:val="20"/>
          <w:szCs w:val="20"/>
        </w:rPr>
        <w:t>In accordance</w:t>
      </w:r>
      <w:r w:rsidRPr="00E65F75">
        <w:rPr>
          <w:sz w:val="20"/>
          <w:szCs w:val="20"/>
        </w:rPr>
        <w:t xml:space="preserve"> with the purposes articulated in Article I of the IEEE Constitution, </w:t>
      </w:r>
      <w:r w:rsidR="00234272">
        <w:rPr>
          <w:sz w:val="20"/>
          <w:szCs w:val="20"/>
        </w:rPr>
        <w:t xml:space="preserve">IEEE </w:t>
      </w:r>
      <w:r w:rsidRPr="00E65F75">
        <w:rPr>
          <w:sz w:val="20"/>
          <w:szCs w:val="20"/>
        </w:rPr>
        <w:t xml:space="preserve">is committed to the realization and maintenance of an environment in which members may have full and productive careers free from Discrimination or Harassment. IEEE </w:t>
      </w:r>
      <w:r w:rsidR="00F562EE">
        <w:rPr>
          <w:sz w:val="20"/>
          <w:szCs w:val="20"/>
        </w:rPr>
        <w:t>upholds</w:t>
      </w:r>
      <w:r w:rsidRPr="00E65F75">
        <w:rPr>
          <w:sz w:val="20"/>
          <w:szCs w:val="20"/>
        </w:rPr>
        <w:t xml:space="preserve"> the principle that all persons shall have equal access to programs, facilities, services, and employment</w:t>
      </w:r>
      <w:r w:rsidR="00F562EE">
        <w:rPr>
          <w:sz w:val="20"/>
          <w:szCs w:val="20"/>
        </w:rPr>
        <w:t>,</w:t>
      </w:r>
      <w:r w:rsidRPr="00E65F75">
        <w:rPr>
          <w:sz w:val="20"/>
          <w:szCs w:val="20"/>
        </w:rPr>
        <w:t xml:space="preserve"> </w:t>
      </w:r>
      <w:r w:rsidR="00234272">
        <w:rPr>
          <w:sz w:val="20"/>
          <w:szCs w:val="20"/>
        </w:rPr>
        <w:t>regardless of</w:t>
      </w:r>
      <w:r w:rsidRPr="00E65F75">
        <w:rPr>
          <w:sz w:val="20"/>
          <w:szCs w:val="20"/>
        </w:rPr>
        <w:t xml:space="preserve"> personal characteristics</w:t>
      </w:r>
      <w:r w:rsidR="00234272">
        <w:rPr>
          <w:sz w:val="20"/>
          <w:szCs w:val="20"/>
        </w:rPr>
        <w:t xml:space="preserve"> </w:t>
      </w:r>
      <w:r w:rsidR="00F562EE">
        <w:rPr>
          <w:sz w:val="20"/>
          <w:szCs w:val="20"/>
        </w:rPr>
        <w:t>unrelated</w:t>
      </w:r>
      <w:r w:rsidRPr="00E65F75">
        <w:rPr>
          <w:sz w:val="20"/>
          <w:szCs w:val="20"/>
        </w:rPr>
        <w:t xml:space="preserve"> to ability, performance, or qualifications</w:t>
      </w:r>
      <w:r w:rsidR="00234272">
        <w:rPr>
          <w:sz w:val="20"/>
          <w:szCs w:val="20"/>
        </w:rPr>
        <w:t>,</w:t>
      </w:r>
      <w:r w:rsidRPr="00E65F75">
        <w:rPr>
          <w:sz w:val="20"/>
          <w:szCs w:val="20"/>
        </w:rPr>
        <w:t xml:space="preserve"> as determined by IEEE policy and/or applicable laws. </w:t>
      </w:r>
      <w:r w:rsidR="000952AD" w:rsidRPr="00E65F75">
        <w:rPr>
          <w:sz w:val="20"/>
          <w:szCs w:val="20"/>
        </w:rPr>
        <w:t xml:space="preserve">Additionally, IEEE discourages any behavior that might be perceived </w:t>
      </w:r>
      <w:r w:rsidR="000952AD" w:rsidRPr="00B04AD8">
        <w:rPr>
          <w:sz w:val="20"/>
          <w:szCs w:val="20"/>
        </w:rPr>
        <w:t xml:space="preserve">as retaliatory for raising in good faith an issue of potential Discrimination, Harassment, Bullying, and/or Retaliation in nature. Retaliation </w:t>
      </w:r>
      <w:r w:rsidR="00F562EE">
        <w:rPr>
          <w:sz w:val="20"/>
          <w:szCs w:val="20"/>
        </w:rPr>
        <w:t>is considered</w:t>
      </w:r>
      <w:r w:rsidR="000952AD" w:rsidRPr="00B04AD8">
        <w:rPr>
          <w:sz w:val="20"/>
          <w:szCs w:val="20"/>
        </w:rPr>
        <w:t xml:space="preserve"> a separate violation and may result in a sanction independent of the outcome of a complaint.</w:t>
      </w:r>
      <w:r w:rsidR="000952AD">
        <w:rPr>
          <w:sz w:val="20"/>
          <w:szCs w:val="20"/>
        </w:rPr>
        <w:t xml:space="preserve"> </w:t>
      </w:r>
      <w:r w:rsidRPr="00E65F75">
        <w:rPr>
          <w:sz w:val="20"/>
          <w:szCs w:val="20"/>
        </w:rPr>
        <w:t>IEEE employees, volunteers, members, and other constituents of the IEEE, when</w:t>
      </w:r>
      <w:r w:rsidR="00F562EE">
        <w:rPr>
          <w:sz w:val="20"/>
          <w:szCs w:val="20"/>
        </w:rPr>
        <w:t>ever</w:t>
      </w:r>
      <w:r w:rsidRPr="00E65F75">
        <w:rPr>
          <w:sz w:val="20"/>
          <w:szCs w:val="20"/>
        </w:rPr>
        <w:t xml:space="preserve"> and wherever conducting IEEE business or participating in IEEE events or activities, shall maintain an environment free of Discrimination,</w:t>
      </w:r>
      <w:r w:rsidR="00234272">
        <w:rPr>
          <w:sz w:val="20"/>
          <w:szCs w:val="20"/>
        </w:rPr>
        <w:t xml:space="preserve"> </w:t>
      </w:r>
      <w:r w:rsidRPr="00E65F75">
        <w:rPr>
          <w:sz w:val="20"/>
          <w:szCs w:val="20"/>
        </w:rPr>
        <w:t xml:space="preserve">Harassment, Bullying, and Retaliation. </w:t>
      </w:r>
      <w:r w:rsidR="00234272">
        <w:rPr>
          <w:sz w:val="20"/>
          <w:szCs w:val="20"/>
        </w:rPr>
        <w:t xml:space="preserve">Individuals </w:t>
      </w:r>
      <w:r w:rsidRPr="00E65F75">
        <w:rPr>
          <w:sz w:val="20"/>
          <w:szCs w:val="20"/>
        </w:rPr>
        <w:t>who believe th</w:t>
      </w:r>
      <w:r w:rsidR="00234272">
        <w:rPr>
          <w:sz w:val="20"/>
          <w:szCs w:val="20"/>
        </w:rPr>
        <w:t>ey have</w:t>
      </w:r>
      <w:r w:rsidRPr="00E65F75">
        <w:rPr>
          <w:sz w:val="20"/>
          <w:szCs w:val="20"/>
        </w:rPr>
        <w:t xml:space="preserve"> been the victim of</w:t>
      </w:r>
      <w:r w:rsidR="00234272">
        <w:rPr>
          <w:sz w:val="20"/>
          <w:szCs w:val="20"/>
        </w:rPr>
        <w:t xml:space="preserve"> </w:t>
      </w:r>
      <w:r w:rsidRPr="00E65F75">
        <w:rPr>
          <w:sz w:val="20"/>
          <w:szCs w:val="20"/>
        </w:rPr>
        <w:t xml:space="preserve">Discrimination or Harassment may seek redress through an appropriate Organizational Unit dispute resolution mechanism or may contact the IEEE Hotline at +1 888 359 6323. </w:t>
      </w:r>
    </w:p>
    <w:p w14:paraId="7286A24A" w14:textId="77777777" w:rsidR="00F171CB" w:rsidRPr="00E65F75" w:rsidRDefault="00F171CB" w:rsidP="00F423B2">
      <w:pPr>
        <w:pStyle w:val="ListParagraph"/>
        <w:rPr>
          <w:sz w:val="20"/>
          <w:szCs w:val="20"/>
        </w:rPr>
      </w:pPr>
    </w:p>
    <w:p w14:paraId="74CBC8E1" w14:textId="77777777" w:rsidR="00F171CB" w:rsidRPr="00E65F75" w:rsidRDefault="00F171CB" w:rsidP="00F171CB">
      <w:pPr>
        <w:pStyle w:val="ListParagraph"/>
        <w:rPr>
          <w:sz w:val="20"/>
          <w:szCs w:val="20"/>
        </w:rPr>
      </w:pPr>
      <w:r w:rsidRPr="00E65F75">
        <w:rPr>
          <w:sz w:val="20"/>
          <w:szCs w:val="20"/>
        </w:rPr>
        <w:t>For more details regarding the IEEE Non-discrimination Policy, kindly refer to the original sources.</w:t>
      </w:r>
    </w:p>
    <w:p w14:paraId="1A83AADE" w14:textId="77777777" w:rsidR="008D2CE1" w:rsidRDefault="008D2CE1" w:rsidP="00F171CB">
      <w:pPr>
        <w:pStyle w:val="ListParagraph"/>
        <w:rPr>
          <w:sz w:val="20"/>
          <w:szCs w:val="20"/>
        </w:rPr>
      </w:pPr>
    </w:p>
    <w:p w14:paraId="0807F94D" w14:textId="7BF253BE" w:rsidR="00F423B2" w:rsidRPr="00E65F75" w:rsidRDefault="00F423B2" w:rsidP="00F171CB">
      <w:pPr>
        <w:pStyle w:val="ListParagraph"/>
        <w:rPr>
          <w:sz w:val="20"/>
          <w:szCs w:val="20"/>
          <w:highlight w:val="yellow"/>
        </w:rPr>
      </w:pPr>
      <w:r w:rsidRPr="00E65F75">
        <w:rPr>
          <w:sz w:val="20"/>
          <w:szCs w:val="20"/>
        </w:rPr>
        <w:t xml:space="preserve">Original Sources: </w:t>
      </w:r>
      <w:hyperlink r:id="rId16" w:history="1">
        <w:r w:rsidRPr="00E65F75">
          <w:rPr>
            <w:rStyle w:val="Hyperlink"/>
            <w:sz w:val="20"/>
            <w:szCs w:val="20"/>
          </w:rPr>
          <w:t xml:space="preserve">IEEE - </w:t>
        </w:r>
        <w:proofErr w:type="spellStart"/>
        <w:r w:rsidRPr="00E65F75">
          <w:rPr>
            <w:rStyle w:val="Hyperlink"/>
            <w:sz w:val="20"/>
            <w:szCs w:val="20"/>
          </w:rPr>
          <w:t>Nondiscrimination</w:t>
        </w:r>
        <w:proofErr w:type="spellEnd"/>
        <w:r w:rsidRPr="00E65F75">
          <w:rPr>
            <w:rStyle w:val="Hyperlink"/>
            <w:sz w:val="20"/>
            <w:szCs w:val="20"/>
          </w:rPr>
          <w:t xml:space="preserve"> Policy</w:t>
        </w:r>
      </w:hyperlink>
    </w:p>
    <w:p w14:paraId="771861EB" w14:textId="21F3C9D2" w:rsidR="00F423B2" w:rsidRPr="00E65F75" w:rsidRDefault="00F171CB" w:rsidP="00F171CB">
      <w:pPr>
        <w:pStyle w:val="ListParagraph"/>
        <w:ind w:left="2160"/>
        <w:rPr>
          <w:sz w:val="20"/>
          <w:szCs w:val="20"/>
        </w:rPr>
      </w:pPr>
      <w:r w:rsidRPr="00E65F75">
        <w:rPr>
          <w:sz w:val="20"/>
          <w:szCs w:val="20"/>
        </w:rPr>
        <w:t xml:space="preserve">  </w:t>
      </w:r>
      <w:hyperlink r:id="rId17" w:history="1">
        <w:proofErr w:type="spellStart"/>
        <w:r w:rsidR="00F423B2" w:rsidRPr="00E65F75">
          <w:rPr>
            <w:rStyle w:val="Hyperlink"/>
            <w:sz w:val="20"/>
            <w:szCs w:val="20"/>
          </w:rPr>
          <w:t>nondiscrimination</w:t>
        </w:r>
        <w:proofErr w:type="spellEnd"/>
        <w:r w:rsidR="00F423B2" w:rsidRPr="00E65F75">
          <w:rPr>
            <w:rStyle w:val="Hyperlink"/>
            <w:sz w:val="20"/>
            <w:szCs w:val="20"/>
          </w:rPr>
          <w:t xml:space="preserve"> (ieee.org)</w:t>
        </w:r>
      </w:hyperlink>
    </w:p>
    <w:p w14:paraId="4817FEC0" w14:textId="77777777" w:rsidR="00FD5599" w:rsidRDefault="00FD5599" w:rsidP="002E3AE4">
      <w:pPr>
        <w:rPr>
          <w:b/>
          <w:bCs/>
          <w:u w:val="single"/>
        </w:rPr>
      </w:pPr>
    </w:p>
    <w:p w14:paraId="7CDF0501" w14:textId="77777777" w:rsidR="00FD5599" w:rsidRDefault="00FD5599" w:rsidP="002E3AE4">
      <w:pPr>
        <w:rPr>
          <w:b/>
          <w:bCs/>
          <w:u w:val="single"/>
        </w:rPr>
      </w:pPr>
    </w:p>
    <w:p w14:paraId="2EA06F82" w14:textId="77777777" w:rsidR="00FD5599" w:rsidRDefault="00FD5599" w:rsidP="002E3AE4">
      <w:pPr>
        <w:rPr>
          <w:b/>
          <w:bCs/>
          <w:u w:val="single"/>
        </w:rPr>
      </w:pPr>
    </w:p>
    <w:p w14:paraId="21A6E23B" w14:textId="77777777" w:rsidR="00FD5599" w:rsidRDefault="00FD5599" w:rsidP="002E3AE4">
      <w:pPr>
        <w:rPr>
          <w:b/>
          <w:bCs/>
          <w:u w:val="single"/>
        </w:rPr>
      </w:pPr>
    </w:p>
    <w:p w14:paraId="6343919C" w14:textId="77777777" w:rsidR="00FD5599" w:rsidRDefault="00FD5599" w:rsidP="002E3AE4">
      <w:pPr>
        <w:rPr>
          <w:b/>
          <w:bCs/>
          <w:u w:val="single"/>
        </w:rPr>
      </w:pPr>
    </w:p>
    <w:p w14:paraId="7E2711F0" w14:textId="209D463C" w:rsidR="002E3AE4" w:rsidRDefault="002E3AE4" w:rsidP="002E3AE4">
      <w:pPr>
        <w:rPr>
          <w:b/>
          <w:bCs/>
          <w:u w:val="single"/>
        </w:rPr>
      </w:pPr>
      <w:r>
        <w:rPr>
          <w:b/>
          <w:bCs/>
          <w:u w:val="single"/>
        </w:rPr>
        <w:t>Publications</w:t>
      </w:r>
    </w:p>
    <w:p w14:paraId="7FD33D95" w14:textId="1ED713AE" w:rsidR="00931A5B" w:rsidRPr="00931A5B" w:rsidRDefault="00931A5B" w:rsidP="00931A5B">
      <w:pPr>
        <w:pStyle w:val="ListParagraph"/>
        <w:numPr>
          <w:ilvl w:val="0"/>
          <w:numId w:val="2"/>
        </w:numPr>
        <w:rPr>
          <w:i/>
          <w:iCs/>
        </w:rPr>
      </w:pPr>
      <w:r w:rsidRPr="00931A5B">
        <w:rPr>
          <w:i/>
          <w:iCs/>
        </w:rPr>
        <w:t>Lena Image</w:t>
      </w:r>
    </w:p>
    <w:p w14:paraId="7F0E2A54" w14:textId="59F53C96" w:rsidR="00773B36" w:rsidRPr="00786C6C" w:rsidRDefault="00773B36" w:rsidP="00931A5B">
      <w:pPr>
        <w:ind w:left="360"/>
        <w:rPr>
          <w:sz w:val="20"/>
          <w:szCs w:val="20"/>
        </w:rPr>
      </w:pPr>
      <w:r w:rsidRPr="00786C6C">
        <w:rPr>
          <w:sz w:val="20"/>
          <w:szCs w:val="20"/>
        </w:rPr>
        <w:t xml:space="preserve">In </w:t>
      </w:r>
      <w:r w:rsidR="008F2B33" w:rsidRPr="00786C6C">
        <w:rPr>
          <w:sz w:val="20"/>
          <w:szCs w:val="20"/>
        </w:rPr>
        <w:t xml:space="preserve">line with </w:t>
      </w:r>
      <w:r w:rsidRPr="00786C6C">
        <w:rPr>
          <w:sz w:val="20"/>
          <w:szCs w:val="20"/>
        </w:rPr>
        <w:t>IEEE’s effort</w:t>
      </w:r>
      <w:r w:rsidR="00FA1533" w:rsidRPr="00786C6C">
        <w:rPr>
          <w:sz w:val="20"/>
          <w:szCs w:val="20"/>
        </w:rPr>
        <w:t xml:space="preserve"> and commitment</w:t>
      </w:r>
      <w:r w:rsidRPr="00786C6C">
        <w:rPr>
          <w:sz w:val="20"/>
          <w:szCs w:val="20"/>
        </w:rPr>
        <w:t xml:space="preserve"> to promot</w:t>
      </w:r>
      <w:r w:rsidR="008F2B33" w:rsidRPr="00786C6C">
        <w:rPr>
          <w:sz w:val="20"/>
          <w:szCs w:val="20"/>
        </w:rPr>
        <w:t>ing</w:t>
      </w:r>
      <w:r w:rsidRPr="00786C6C">
        <w:rPr>
          <w:sz w:val="20"/>
          <w:szCs w:val="20"/>
        </w:rPr>
        <w:t xml:space="preserve"> an inclusive and equitable culture that welcomes</w:t>
      </w:r>
      <w:r w:rsidR="008F2B33" w:rsidRPr="00786C6C">
        <w:rPr>
          <w:sz w:val="20"/>
          <w:szCs w:val="20"/>
        </w:rPr>
        <w:t xml:space="preserve"> </w:t>
      </w:r>
      <w:r w:rsidRPr="00786C6C">
        <w:rPr>
          <w:sz w:val="20"/>
          <w:szCs w:val="20"/>
        </w:rPr>
        <w:t>all</w:t>
      </w:r>
      <w:r w:rsidR="008F2B33" w:rsidRPr="00786C6C">
        <w:rPr>
          <w:sz w:val="20"/>
          <w:szCs w:val="20"/>
        </w:rPr>
        <w:t xml:space="preserve"> individuals,</w:t>
      </w:r>
      <w:r w:rsidRPr="00786C6C">
        <w:rPr>
          <w:sz w:val="20"/>
          <w:szCs w:val="20"/>
        </w:rPr>
        <w:t xml:space="preserve"> and </w:t>
      </w:r>
      <w:r w:rsidR="008F2B33" w:rsidRPr="00786C6C">
        <w:rPr>
          <w:sz w:val="20"/>
          <w:szCs w:val="20"/>
        </w:rPr>
        <w:t xml:space="preserve">in accordance </w:t>
      </w:r>
      <w:r w:rsidRPr="00786C6C">
        <w:rPr>
          <w:sz w:val="20"/>
          <w:szCs w:val="20"/>
        </w:rPr>
        <w:t xml:space="preserve">with the wishes of Lena </w:t>
      </w:r>
      <w:proofErr w:type="spellStart"/>
      <w:r w:rsidRPr="00786C6C">
        <w:rPr>
          <w:sz w:val="20"/>
          <w:szCs w:val="20"/>
        </w:rPr>
        <w:t>Forsén</w:t>
      </w:r>
      <w:proofErr w:type="spellEnd"/>
      <w:r w:rsidRPr="00786C6C">
        <w:rPr>
          <w:sz w:val="20"/>
          <w:szCs w:val="20"/>
        </w:rPr>
        <w:t>,</w:t>
      </w:r>
      <w:r w:rsidR="008F2B33" w:rsidRPr="00786C6C">
        <w:rPr>
          <w:sz w:val="20"/>
          <w:szCs w:val="20"/>
        </w:rPr>
        <w:t xml:space="preserve"> the subject of the image, </w:t>
      </w:r>
      <w:r w:rsidRPr="00786C6C">
        <w:rPr>
          <w:sz w:val="20"/>
          <w:szCs w:val="20"/>
        </w:rPr>
        <w:t>IEEE will no longer accept submitted papers that include the “Lena image.” This action</w:t>
      </w:r>
      <w:r w:rsidR="008F2B33" w:rsidRPr="00786C6C">
        <w:rPr>
          <w:sz w:val="20"/>
          <w:szCs w:val="20"/>
        </w:rPr>
        <w:t xml:space="preserve"> is dedicated to supporting</w:t>
      </w:r>
      <w:r w:rsidR="00FA1533" w:rsidRPr="00786C6C">
        <w:rPr>
          <w:sz w:val="20"/>
          <w:szCs w:val="20"/>
        </w:rPr>
        <w:t xml:space="preserve"> inclusiveness by </w:t>
      </w:r>
      <w:r w:rsidRPr="00786C6C">
        <w:rPr>
          <w:sz w:val="20"/>
          <w:szCs w:val="20"/>
        </w:rPr>
        <w:t>preventing the us</w:t>
      </w:r>
      <w:r w:rsidR="008F2B33" w:rsidRPr="00786C6C">
        <w:rPr>
          <w:sz w:val="20"/>
          <w:szCs w:val="20"/>
        </w:rPr>
        <w:t>e</w:t>
      </w:r>
      <w:r w:rsidRPr="00786C6C">
        <w:rPr>
          <w:sz w:val="20"/>
          <w:szCs w:val="20"/>
        </w:rPr>
        <w:t xml:space="preserve"> of material</w:t>
      </w:r>
      <w:r w:rsidR="008F2B33" w:rsidRPr="00786C6C">
        <w:rPr>
          <w:sz w:val="20"/>
          <w:szCs w:val="20"/>
        </w:rPr>
        <w:t>s</w:t>
      </w:r>
      <w:r w:rsidRPr="00786C6C">
        <w:rPr>
          <w:sz w:val="20"/>
          <w:szCs w:val="20"/>
        </w:rPr>
        <w:t xml:space="preserve"> </w:t>
      </w:r>
      <w:r w:rsidR="008F2B33" w:rsidRPr="00786C6C">
        <w:rPr>
          <w:sz w:val="20"/>
          <w:szCs w:val="20"/>
        </w:rPr>
        <w:t>in</w:t>
      </w:r>
      <w:r w:rsidRPr="00786C6C">
        <w:rPr>
          <w:sz w:val="20"/>
          <w:szCs w:val="20"/>
        </w:rPr>
        <w:t xml:space="preserve"> publication</w:t>
      </w:r>
      <w:r w:rsidR="008F2B33" w:rsidRPr="00786C6C">
        <w:rPr>
          <w:sz w:val="20"/>
          <w:szCs w:val="20"/>
        </w:rPr>
        <w:t>s</w:t>
      </w:r>
      <w:r w:rsidRPr="00786C6C">
        <w:rPr>
          <w:sz w:val="20"/>
          <w:szCs w:val="20"/>
        </w:rPr>
        <w:t xml:space="preserve"> that can be </w:t>
      </w:r>
      <w:r w:rsidR="008F2B33" w:rsidRPr="00786C6C">
        <w:rPr>
          <w:sz w:val="20"/>
          <w:szCs w:val="20"/>
        </w:rPr>
        <w:t>perceived</w:t>
      </w:r>
      <w:r w:rsidRPr="00786C6C">
        <w:rPr>
          <w:sz w:val="20"/>
          <w:szCs w:val="20"/>
        </w:rPr>
        <w:t xml:space="preserve"> as degrading </w:t>
      </w:r>
      <w:r w:rsidR="008F2B33" w:rsidRPr="00786C6C">
        <w:rPr>
          <w:sz w:val="20"/>
          <w:szCs w:val="20"/>
        </w:rPr>
        <w:t xml:space="preserve">to </w:t>
      </w:r>
      <w:r w:rsidRPr="00786C6C">
        <w:rPr>
          <w:sz w:val="20"/>
          <w:szCs w:val="20"/>
        </w:rPr>
        <w:t>women.</w:t>
      </w:r>
    </w:p>
    <w:p w14:paraId="43AF2E76" w14:textId="1EAA19B1" w:rsidR="00931A5B" w:rsidRPr="00786C6C" w:rsidRDefault="00651832" w:rsidP="000011F6">
      <w:pPr>
        <w:ind w:left="360"/>
        <w:rPr>
          <w:rStyle w:val="Hyperlink"/>
          <w:color w:val="auto"/>
          <w:sz w:val="20"/>
          <w:szCs w:val="20"/>
        </w:rPr>
      </w:pPr>
      <w:r w:rsidRPr="00786C6C">
        <w:rPr>
          <w:sz w:val="20"/>
          <w:szCs w:val="20"/>
        </w:rPr>
        <w:t>Original Sources:</w:t>
      </w:r>
      <w:r w:rsidR="000011F6" w:rsidRPr="00786C6C">
        <w:rPr>
          <w:sz w:val="20"/>
          <w:szCs w:val="20"/>
        </w:rPr>
        <w:t xml:space="preserve"> </w:t>
      </w:r>
      <w:hyperlink r:id="rId18" w:history="1">
        <w:r w:rsidR="00C84562" w:rsidRPr="00786C6C">
          <w:rPr>
            <w:rStyle w:val="Hyperlink"/>
            <w:sz w:val="20"/>
            <w:szCs w:val="20"/>
          </w:rPr>
          <w:t>Create Graphics for Your Article - IEEE Author Center Journals</w:t>
        </w:r>
      </w:hyperlink>
      <w:r w:rsidR="000011F6" w:rsidRPr="00786C6C">
        <w:rPr>
          <w:rStyle w:val="Hyperlink"/>
          <w:sz w:val="20"/>
          <w:szCs w:val="20"/>
        </w:rPr>
        <w:t>;</w:t>
      </w:r>
    </w:p>
    <w:p w14:paraId="4C84F467" w14:textId="47006B4A" w:rsidR="00052644" w:rsidRDefault="000011F6" w:rsidP="00931A5B">
      <w:pPr>
        <w:ind w:left="360"/>
        <w:rPr>
          <w:rStyle w:val="Hyperlink"/>
          <w:sz w:val="20"/>
          <w:szCs w:val="20"/>
        </w:rPr>
      </w:pPr>
      <w:r w:rsidRPr="00786C6C">
        <w:rPr>
          <w:sz w:val="20"/>
          <w:szCs w:val="20"/>
        </w:rPr>
        <w:t xml:space="preserve">                                      </w:t>
      </w:r>
      <w:hyperlink r:id="rId19" w:history="1">
        <w:r w:rsidR="00052644" w:rsidRPr="00786C6C">
          <w:rPr>
            <w:rStyle w:val="Hyperlink"/>
            <w:sz w:val="20"/>
            <w:szCs w:val="20"/>
          </w:rPr>
          <w:t>A note on Lena | IEEE Journals &amp; Magazine | IEEE Xplore</w:t>
        </w:r>
      </w:hyperlink>
    </w:p>
    <w:p w14:paraId="339EA4D1" w14:textId="0771F677" w:rsidR="001F3FF4" w:rsidRPr="00786C6C" w:rsidRDefault="001F3FF4" w:rsidP="001F3FF4">
      <w:pPr>
        <w:rPr>
          <w:rStyle w:val="Hyperlink"/>
          <w:sz w:val="20"/>
          <w:szCs w:val="20"/>
        </w:rPr>
      </w:pPr>
    </w:p>
    <w:p w14:paraId="6C416E7A" w14:textId="03035891" w:rsidR="00F423B2" w:rsidRDefault="00F423B2" w:rsidP="00F423B2">
      <w:pPr>
        <w:pStyle w:val="ListParagraph"/>
        <w:numPr>
          <w:ilvl w:val="0"/>
          <w:numId w:val="2"/>
        </w:numPr>
        <w:rPr>
          <w:rStyle w:val="Hyperlink"/>
          <w:i/>
          <w:iCs/>
          <w:color w:val="auto"/>
          <w:u w:val="none"/>
        </w:rPr>
      </w:pPr>
      <w:r w:rsidRPr="00F423B2">
        <w:rPr>
          <w:rStyle w:val="Hyperlink"/>
          <w:i/>
          <w:iCs/>
          <w:color w:val="auto"/>
          <w:u w:val="none"/>
        </w:rPr>
        <w:t>CVD Accessible Line Graphs</w:t>
      </w:r>
    </w:p>
    <w:p w14:paraId="30F127A6" w14:textId="75E8F7FB" w:rsidR="00F423B2" w:rsidRPr="00786C6C" w:rsidRDefault="00F423B2" w:rsidP="00F423B2">
      <w:pPr>
        <w:pStyle w:val="NormalWeb"/>
        <w:shd w:val="clear" w:color="auto" w:fill="FFFFFF"/>
        <w:spacing w:before="0" w:beforeAutospacing="0" w:after="240" w:afterAutospacing="0"/>
        <w:ind w:left="360"/>
        <w:rPr>
          <w:rFonts w:asciiTheme="minorHAnsi" w:hAnsiTheme="minorHAnsi" w:cs="Arial"/>
          <w:color w:val="000000"/>
          <w:sz w:val="20"/>
          <w:szCs w:val="20"/>
        </w:rPr>
      </w:pPr>
      <w:r w:rsidRPr="00786C6C">
        <w:rPr>
          <w:rFonts w:asciiTheme="minorHAnsi" w:hAnsiTheme="minorHAnsi" w:cs="Arial"/>
          <w:color w:val="000000"/>
          <w:sz w:val="20"/>
          <w:szCs w:val="20"/>
        </w:rPr>
        <w:t xml:space="preserve">Approximately 1 in 12 men and 1 in 200 women have color vision deficiency. It is highly likely that someone reading your article may have difficulty distinguishing between red and green, blue and green, or yellow and red. </w:t>
      </w:r>
      <w:r w:rsidR="001F3FF4">
        <w:rPr>
          <w:rFonts w:asciiTheme="minorHAnsi" w:hAnsiTheme="minorHAnsi" w:cs="Arial"/>
          <w:color w:val="000000"/>
          <w:sz w:val="20"/>
          <w:szCs w:val="20"/>
        </w:rPr>
        <w:t>As IEEE endeavors to make maximum accommodations for individuals with color vision deficiency, t</w:t>
      </w:r>
      <w:r w:rsidRPr="00786C6C">
        <w:rPr>
          <w:rFonts w:asciiTheme="minorHAnsi" w:hAnsiTheme="minorHAnsi" w:cs="Arial"/>
          <w:color w:val="000000"/>
          <w:sz w:val="20"/>
          <w:szCs w:val="20"/>
        </w:rPr>
        <w:t>he following tips will help you communicate better with those readers.</w:t>
      </w:r>
    </w:p>
    <w:p w14:paraId="0347E6CF" w14:textId="0FF5EC8A" w:rsidR="001F3FF4" w:rsidRDefault="00F423B2" w:rsidP="001F3FF4">
      <w:pPr>
        <w:pStyle w:val="NormalWeb"/>
        <w:numPr>
          <w:ilvl w:val="0"/>
          <w:numId w:val="8"/>
        </w:numPr>
        <w:shd w:val="clear" w:color="auto" w:fill="FFFFFF"/>
        <w:spacing w:before="0" w:beforeAutospacing="0" w:after="240" w:afterAutospacing="0"/>
        <w:rPr>
          <w:rFonts w:asciiTheme="minorHAnsi" w:hAnsiTheme="minorHAnsi" w:cs="Arial"/>
          <w:color w:val="000000"/>
          <w:sz w:val="20"/>
          <w:szCs w:val="20"/>
        </w:rPr>
      </w:pPr>
      <w:r w:rsidRPr="00786C6C">
        <w:rPr>
          <w:rFonts w:asciiTheme="minorHAnsi" w:hAnsiTheme="minorHAnsi" w:cs="Arial"/>
          <w:color w:val="000000"/>
          <w:sz w:val="20"/>
          <w:szCs w:val="20"/>
        </w:rPr>
        <w:t>Use both color and shape to convey the same meaning</w:t>
      </w:r>
      <w:r w:rsidR="001F3FF4">
        <w:rPr>
          <w:rFonts w:asciiTheme="minorHAnsi" w:hAnsiTheme="minorHAnsi" w:cs="Arial"/>
          <w:color w:val="000000"/>
          <w:sz w:val="20"/>
          <w:szCs w:val="20"/>
        </w:rPr>
        <w:t xml:space="preserve"> (e.g., </w:t>
      </w:r>
      <w:r w:rsidRPr="00786C6C">
        <w:rPr>
          <w:rFonts w:asciiTheme="minorHAnsi" w:hAnsiTheme="minorHAnsi" w:cs="Arial"/>
          <w:color w:val="000000"/>
          <w:sz w:val="20"/>
          <w:szCs w:val="20"/>
        </w:rPr>
        <w:t>solid and dashed lines or different fill patterns can help readers understand the figure without relying solely on color</w:t>
      </w:r>
      <w:r w:rsidR="001F3FF4">
        <w:rPr>
          <w:rFonts w:asciiTheme="minorHAnsi" w:hAnsiTheme="minorHAnsi" w:cs="Arial"/>
          <w:color w:val="000000"/>
          <w:sz w:val="20"/>
          <w:szCs w:val="20"/>
        </w:rPr>
        <w:t>).</w:t>
      </w:r>
    </w:p>
    <w:p w14:paraId="5A95077F" w14:textId="77777777" w:rsidR="001F3FF4" w:rsidRDefault="00F423B2" w:rsidP="001F3FF4">
      <w:pPr>
        <w:pStyle w:val="NormalWeb"/>
        <w:numPr>
          <w:ilvl w:val="0"/>
          <w:numId w:val="8"/>
        </w:numPr>
        <w:shd w:val="clear" w:color="auto" w:fill="FFFFFF"/>
        <w:spacing w:before="0" w:beforeAutospacing="0" w:after="240" w:afterAutospacing="0"/>
        <w:rPr>
          <w:rFonts w:asciiTheme="minorHAnsi" w:hAnsiTheme="minorHAnsi" w:cs="Arial"/>
          <w:color w:val="000000"/>
          <w:sz w:val="20"/>
          <w:szCs w:val="20"/>
        </w:rPr>
      </w:pPr>
      <w:r w:rsidRPr="00786C6C">
        <w:rPr>
          <w:rFonts w:asciiTheme="minorHAnsi" w:hAnsiTheme="minorHAnsi" w:cs="Arial"/>
          <w:color w:val="000000"/>
          <w:sz w:val="20"/>
          <w:szCs w:val="20"/>
        </w:rPr>
        <w:t xml:space="preserve">Each line of your line graph should be a thick line with a unique data point symbol. </w:t>
      </w:r>
    </w:p>
    <w:p w14:paraId="6C61B842" w14:textId="7BE6A6AC" w:rsidR="001F3FF4" w:rsidRDefault="00F423B2" w:rsidP="001F3FF4">
      <w:pPr>
        <w:pStyle w:val="NormalWeb"/>
        <w:numPr>
          <w:ilvl w:val="0"/>
          <w:numId w:val="8"/>
        </w:numPr>
        <w:shd w:val="clear" w:color="auto" w:fill="FFFFFF"/>
        <w:spacing w:before="0" w:beforeAutospacing="0" w:after="240" w:afterAutospacing="0"/>
        <w:rPr>
          <w:rFonts w:asciiTheme="minorHAnsi" w:hAnsiTheme="minorHAnsi" w:cs="Arial"/>
          <w:color w:val="000000"/>
          <w:sz w:val="20"/>
          <w:szCs w:val="20"/>
        </w:rPr>
      </w:pPr>
      <w:r w:rsidRPr="00786C6C">
        <w:rPr>
          <w:rFonts w:asciiTheme="minorHAnsi" w:hAnsiTheme="minorHAnsi" w:cs="Arial"/>
          <w:color w:val="000000"/>
          <w:sz w:val="20"/>
          <w:szCs w:val="20"/>
        </w:rPr>
        <w:t>Contrast different elements of the figure with both color and brightness.</w:t>
      </w:r>
    </w:p>
    <w:p w14:paraId="2E8ACE24" w14:textId="27FE9332" w:rsidR="00F423B2" w:rsidRPr="001F3FF4" w:rsidRDefault="00F423B2" w:rsidP="001F3FF4">
      <w:pPr>
        <w:pStyle w:val="NormalWeb"/>
        <w:numPr>
          <w:ilvl w:val="0"/>
          <w:numId w:val="8"/>
        </w:numPr>
        <w:shd w:val="clear" w:color="auto" w:fill="FFFFFF"/>
        <w:spacing w:before="0" w:beforeAutospacing="0" w:after="240" w:afterAutospacing="0"/>
        <w:rPr>
          <w:rFonts w:asciiTheme="minorHAnsi" w:hAnsiTheme="minorHAnsi" w:cs="Arial"/>
          <w:color w:val="000000"/>
          <w:sz w:val="20"/>
          <w:szCs w:val="20"/>
        </w:rPr>
      </w:pPr>
      <w:r w:rsidRPr="001F3FF4">
        <w:rPr>
          <w:rFonts w:asciiTheme="minorHAnsi" w:hAnsiTheme="minorHAnsi" w:cs="Arial"/>
          <w:color w:val="000000"/>
          <w:sz w:val="20"/>
          <w:szCs w:val="20"/>
        </w:rPr>
        <w:t>Connect the data label to the data line rather than relying on a color key.</w:t>
      </w:r>
    </w:p>
    <w:p w14:paraId="7FA0086E" w14:textId="77777777" w:rsidR="001F3FF4" w:rsidRDefault="00F423B2" w:rsidP="001F3FF4">
      <w:pPr>
        <w:pStyle w:val="NormalWeb"/>
        <w:shd w:val="clear" w:color="auto" w:fill="FFFFFF"/>
        <w:spacing w:before="0" w:beforeAutospacing="0" w:after="240" w:afterAutospacing="0"/>
        <w:ind w:left="340"/>
        <w:rPr>
          <w:rFonts w:asciiTheme="minorHAnsi" w:hAnsiTheme="minorHAnsi" w:cs="Arial"/>
          <w:color w:val="000000"/>
          <w:sz w:val="20"/>
          <w:szCs w:val="20"/>
        </w:rPr>
      </w:pPr>
      <w:r w:rsidRPr="00786C6C">
        <w:rPr>
          <w:rFonts w:asciiTheme="minorHAnsi" w:hAnsiTheme="minorHAnsi" w:cs="Arial"/>
          <w:color w:val="000000"/>
          <w:sz w:val="20"/>
          <w:szCs w:val="20"/>
        </w:rPr>
        <w:t>A quick way to evaluate your figure is to print it out in greyscale and see if it can still be interpreted correctly; if not, use some of these tips to more effectively communicate with all readers.</w:t>
      </w:r>
    </w:p>
    <w:p w14:paraId="623A3C5A" w14:textId="38DFDFF8" w:rsidR="005843EE" w:rsidRPr="001F3FF4" w:rsidRDefault="00F423B2" w:rsidP="001F3FF4">
      <w:pPr>
        <w:pStyle w:val="NormalWeb"/>
        <w:shd w:val="clear" w:color="auto" w:fill="FFFFFF"/>
        <w:spacing w:before="0" w:beforeAutospacing="0" w:after="240" w:afterAutospacing="0"/>
        <w:ind w:left="340"/>
        <w:rPr>
          <w:rFonts w:asciiTheme="minorHAnsi" w:hAnsiTheme="minorHAnsi" w:cs="Arial"/>
          <w:color w:val="000000"/>
          <w:sz w:val="20"/>
          <w:szCs w:val="20"/>
          <w:u w:val="single"/>
        </w:rPr>
      </w:pPr>
      <w:r w:rsidRPr="00F562EE">
        <w:rPr>
          <w:rFonts w:asciiTheme="minorHAnsi" w:hAnsiTheme="minorHAnsi" w:cs="Arial"/>
          <w:color w:val="000000"/>
          <w:sz w:val="20"/>
          <w:szCs w:val="20"/>
        </w:rPr>
        <w:t>These tips were featured in the</w:t>
      </w:r>
      <w:r w:rsidRPr="00786C6C">
        <w:rPr>
          <w:rFonts w:asciiTheme="minorHAnsi" w:hAnsiTheme="minorHAnsi" w:cs="Arial"/>
          <w:color w:val="000000"/>
          <w:sz w:val="20"/>
          <w:szCs w:val="20"/>
          <w:u w:val="single"/>
        </w:rPr>
        <w:t xml:space="preserve"> </w:t>
      </w:r>
      <w:r w:rsidRPr="003F5560">
        <w:rPr>
          <w:rFonts w:asciiTheme="minorHAnsi" w:hAnsiTheme="minorHAnsi" w:cs="Arial"/>
          <w:color w:val="000000"/>
          <w:sz w:val="20"/>
          <w:szCs w:val="20"/>
        </w:rPr>
        <w:t>Authors@IEEE Newsletter, Volume 9, Issue 2, March 2024</w:t>
      </w:r>
      <w:r w:rsidR="00B872F8" w:rsidRPr="003F5560">
        <w:rPr>
          <w:rFonts w:asciiTheme="minorHAnsi" w:hAnsiTheme="minorHAnsi" w:cs="Arial"/>
          <w:color w:val="000000"/>
          <w:sz w:val="20"/>
          <w:szCs w:val="20"/>
        </w:rPr>
        <w:t xml:space="preserve"> </w:t>
      </w:r>
      <w:r w:rsidR="00B872F8" w:rsidRPr="00786C6C">
        <w:rPr>
          <w:rFonts w:asciiTheme="minorHAnsi" w:hAnsiTheme="minorHAnsi" w:cs="Arial"/>
          <w:color w:val="000000"/>
          <w:sz w:val="20"/>
          <w:szCs w:val="20"/>
          <w:u w:val="single"/>
        </w:rPr>
        <w:t>(Original Source)</w:t>
      </w:r>
      <w:r w:rsidRPr="00786C6C">
        <w:rPr>
          <w:rFonts w:asciiTheme="minorHAnsi" w:hAnsiTheme="minorHAnsi" w:cs="Arial"/>
          <w:color w:val="000000"/>
          <w:sz w:val="20"/>
          <w:szCs w:val="20"/>
          <w:u w:val="single"/>
        </w:rPr>
        <w:t>.</w:t>
      </w:r>
      <w:r w:rsidRPr="00786C6C">
        <w:rPr>
          <w:rFonts w:asciiTheme="minorHAnsi" w:hAnsiTheme="minorHAnsi" w:cs="Arial"/>
          <w:color w:val="000000"/>
          <w:sz w:val="20"/>
          <w:szCs w:val="20"/>
        </w:rPr>
        <w:t xml:space="preserve"> To subscribe to the newsletter, visit </w:t>
      </w:r>
      <w:hyperlink r:id="rId20" w:tgtFrame="_blank" w:history="1">
        <w:r w:rsidRPr="00786C6C">
          <w:rPr>
            <w:rStyle w:val="Hyperlink"/>
            <w:rFonts w:asciiTheme="minorHAnsi" w:eastAsiaTheme="majorEastAsia" w:hAnsiTheme="minorHAnsi" w:cs="Arial"/>
            <w:color w:val="1155CC"/>
            <w:sz w:val="20"/>
            <w:szCs w:val="20"/>
          </w:rPr>
          <w:t>https://engage.ieee.org/Author-Center-Authors-Newsletter-Opt-in.html</w:t>
        </w:r>
      </w:hyperlink>
      <w:r w:rsidRPr="00786C6C">
        <w:rPr>
          <w:rFonts w:asciiTheme="minorHAnsi" w:hAnsiTheme="minorHAnsi" w:cs="Arial"/>
          <w:color w:val="000000"/>
          <w:sz w:val="20"/>
          <w:szCs w:val="20"/>
        </w:rPr>
        <w:t>.</w:t>
      </w:r>
    </w:p>
    <w:p w14:paraId="02428289" w14:textId="77777777" w:rsidR="001F3FF4" w:rsidRDefault="001F3FF4" w:rsidP="00786C6C">
      <w:pPr>
        <w:pStyle w:val="NormalWeb"/>
        <w:shd w:val="clear" w:color="auto" w:fill="FFFFFF"/>
        <w:spacing w:before="0" w:beforeAutospacing="0" w:after="240" w:afterAutospacing="0"/>
        <w:ind w:left="340"/>
        <w:rPr>
          <w:rFonts w:asciiTheme="minorHAnsi" w:hAnsiTheme="minorHAnsi" w:cs="Arial"/>
          <w:color w:val="000000"/>
          <w:sz w:val="22"/>
          <w:szCs w:val="22"/>
        </w:rPr>
      </w:pPr>
    </w:p>
    <w:p w14:paraId="6545D6BF" w14:textId="77777777" w:rsidR="002A2B1F" w:rsidRDefault="002A2B1F" w:rsidP="00786C6C">
      <w:pPr>
        <w:pStyle w:val="NormalWeb"/>
        <w:shd w:val="clear" w:color="auto" w:fill="FFFFFF"/>
        <w:spacing w:before="0" w:beforeAutospacing="0" w:after="240" w:afterAutospacing="0"/>
        <w:ind w:left="340"/>
        <w:rPr>
          <w:rFonts w:asciiTheme="minorHAnsi" w:hAnsiTheme="minorHAnsi" w:cs="Arial"/>
          <w:color w:val="000000"/>
          <w:sz w:val="22"/>
          <w:szCs w:val="22"/>
        </w:rPr>
      </w:pPr>
    </w:p>
    <w:p w14:paraId="5FCCB3BD" w14:textId="77777777" w:rsidR="002A2B1F" w:rsidRDefault="002A2B1F" w:rsidP="00786C6C">
      <w:pPr>
        <w:pStyle w:val="NormalWeb"/>
        <w:shd w:val="clear" w:color="auto" w:fill="FFFFFF"/>
        <w:spacing w:before="0" w:beforeAutospacing="0" w:after="240" w:afterAutospacing="0"/>
        <w:ind w:left="340"/>
        <w:rPr>
          <w:rFonts w:asciiTheme="minorHAnsi" w:hAnsiTheme="minorHAnsi" w:cs="Arial"/>
          <w:color w:val="000000"/>
          <w:sz w:val="22"/>
          <w:szCs w:val="22"/>
        </w:rPr>
      </w:pPr>
    </w:p>
    <w:p w14:paraId="7A2EEAA9" w14:textId="77777777" w:rsidR="002A2B1F" w:rsidRPr="00786C6C" w:rsidRDefault="002A2B1F" w:rsidP="00786C6C">
      <w:pPr>
        <w:pStyle w:val="NormalWeb"/>
        <w:shd w:val="clear" w:color="auto" w:fill="FFFFFF"/>
        <w:spacing w:before="0" w:beforeAutospacing="0" w:after="240" w:afterAutospacing="0"/>
        <w:ind w:left="340"/>
        <w:rPr>
          <w:rFonts w:asciiTheme="minorHAnsi" w:hAnsiTheme="minorHAnsi" w:cs="Arial"/>
          <w:color w:val="000000"/>
          <w:sz w:val="22"/>
          <w:szCs w:val="22"/>
        </w:rPr>
      </w:pPr>
    </w:p>
    <w:p w14:paraId="4A69067C" w14:textId="75D06769" w:rsidR="00931A5B" w:rsidRPr="00931A5B" w:rsidRDefault="00931A5B" w:rsidP="00931A5B">
      <w:pPr>
        <w:pStyle w:val="ListParagraph"/>
        <w:numPr>
          <w:ilvl w:val="0"/>
          <w:numId w:val="2"/>
        </w:numPr>
        <w:rPr>
          <w:i/>
          <w:iCs/>
        </w:rPr>
      </w:pPr>
      <w:r w:rsidRPr="00931A5B">
        <w:rPr>
          <w:i/>
          <w:iCs/>
        </w:rPr>
        <w:lastRenderedPageBreak/>
        <w:t>IEEE Author Name Change Policy</w:t>
      </w:r>
    </w:p>
    <w:p w14:paraId="1A19DA4A" w14:textId="77777777" w:rsidR="00FD5599" w:rsidRDefault="00EC4D80" w:rsidP="00931A5B">
      <w:pPr>
        <w:ind w:left="360"/>
        <w:rPr>
          <w:sz w:val="20"/>
          <w:szCs w:val="20"/>
        </w:rPr>
      </w:pPr>
      <w:r w:rsidRPr="00786C6C">
        <w:rPr>
          <w:sz w:val="20"/>
          <w:szCs w:val="20"/>
        </w:rPr>
        <w:t xml:space="preserve">In accordance with IEEE’s support </w:t>
      </w:r>
      <w:r w:rsidR="008F3C53" w:rsidRPr="00786C6C">
        <w:rPr>
          <w:sz w:val="20"/>
          <w:szCs w:val="20"/>
        </w:rPr>
        <w:t>of</w:t>
      </w:r>
      <w:r w:rsidRPr="00786C6C">
        <w:rPr>
          <w:sz w:val="20"/>
          <w:szCs w:val="20"/>
        </w:rPr>
        <w:t xml:space="preserve"> the Committee on Publication Ethics (COPE) initiative and guidelines on an inclusive approach to author name changes, IEEE will allow authors to request </w:t>
      </w:r>
      <w:r w:rsidR="008F3C53" w:rsidRPr="00786C6C">
        <w:rPr>
          <w:sz w:val="20"/>
          <w:szCs w:val="20"/>
        </w:rPr>
        <w:t>the</w:t>
      </w:r>
      <w:r w:rsidRPr="00786C6C">
        <w:rPr>
          <w:sz w:val="20"/>
          <w:szCs w:val="20"/>
        </w:rPr>
        <w:t xml:space="preserve"> replacement of their prior name with their current name. The requests will be kept confidential, and authors will not be </w:t>
      </w:r>
      <w:r w:rsidR="008F3C53" w:rsidRPr="00786C6C">
        <w:rPr>
          <w:sz w:val="20"/>
          <w:szCs w:val="20"/>
        </w:rPr>
        <w:t>required</w:t>
      </w:r>
      <w:r w:rsidRPr="00786C6C">
        <w:rPr>
          <w:sz w:val="20"/>
          <w:szCs w:val="20"/>
        </w:rPr>
        <w:t xml:space="preserve"> to disclose the reason for the</w:t>
      </w:r>
      <w:r w:rsidR="008F3C53" w:rsidRPr="00786C6C">
        <w:rPr>
          <w:sz w:val="20"/>
          <w:szCs w:val="20"/>
        </w:rPr>
        <w:t>ir</w:t>
      </w:r>
      <w:r w:rsidRPr="00786C6C">
        <w:rPr>
          <w:sz w:val="20"/>
          <w:szCs w:val="20"/>
        </w:rPr>
        <w:t xml:space="preserve"> request nor</w:t>
      </w:r>
      <w:r w:rsidR="008F3C53" w:rsidRPr="00786C6C">
        <w:rPr>
          <w:sz w:val="20"/>
          <w:szCs w:val="20"/>
        </w:rPr>
        <w:t xml:space="preserve"> provide</w:t>
      </w:r>
      <w:r w:rsidRPr="00786C6C">
        <w:rPr>
          <w:sz w:val="20"/>
          <w:szCs w:val="20"/>
        </w:rPr>
        <w:t xml:space="preserve"> any legal proof or </w:t>
      </w:r>
    </w:p>
    <w:p w14:paraId="142DF120" w14:textId="1C76F175" w:rsidR="00EC4D80" w:rsidRPr="00786C6C" w:rsidRDefault="00EC4D80" w:rsidP="00931A5B">
      <w:pPr>
        <w:ind w:left="360"/>
        <w:rPr>
          <w:sz w:val="20"/>
          <w:szCs w:val="20"/>
        </w:rPr>
      </w:pPr>
      <w:r w:rsidRPr="00786C6C">
        <w:rPr>
          <w:sz w:val="20"/>
          <w:szCs w:val="20"/>
        </w:rPr>
        <w:t>documentation of</w:t>
      </w:r>
      <w:r w:rsidR="008F3C53" w:rsidRPr="00786C6C">
        <w:rPr>
          <w:sz w:val="20"/>
          <w:szCs w:val="20"/>
        </w:rPr>
        <w:t xml:space="preserve"> the name change</w:t>
      </w:r>
      <w:r w:rsidRPr="00786C6C">
        <w:rPr>
          <w:sz w:val="20"/>
          <w:szCs w:val="20"/>
        </w:rPr>
        <w:t>. They will, however, be asked to provide an updated ORCID profile and an institutional email address. Please note that requests for name changes on behalf of another person will not be considered</w:t>
      </w:r>
      <w:r w:rsidR="000011F6" w:rsidRPr="00786C6C">
        <w:rPr>
          <w:sz w:val="20"/>
          <w:szCs w:val="20"/>
        </w:rPr>
        <w:t xml:space="preserve">, and typographic errors cannot be corrected by submitting an author name change request. IEEE considers any fraudulent request to update the name of an author without their explicit consent to be a serious ethical violation. </w:t>
      </w:r>
    </w:p>
    <w:p w14:paraId="0131C9E2" w14:textId="2BF570D8" w:rsidR="000011F6" w:rsidRPr="00786C6C" w:rsidRDefault="000011F6" w:rsidP="00931A5B">
      <w:pPr>
        <w:ind w:left="360"/>
        <w:rPr>
          <w:sz w:val="20"/>
          <w:szCs w:val="20"/>
        </w:rPr>
      </w:pPr>
      <w:r w:rsidRPr="00786C6C">
        <w:rPr>
          <w:sz w:val="20"/>
          <w:szCs w:val="20"/>
        </w:rPr>
        <w:t>For</w:t>
      </w:r>
      <w:r w:rsidR="00A46450" w:rsidRPr="00786C6C">
        <w:rPr>
          <w:sz w:val="20"/>
          <w:szCs w:val="20"/>
        </w:rPr>
        <w:t xml:space="preserve"> </w:t>
      </w:r>
      <w:r w:rsidR="00A81DA4">
        <w:rPr>
          <w:sz w:val="20"/>
          <w:szCs w:val="20"/>
        </w:rPr>
        <w:t xml:space="preserve">more </w:t>
      </w:r>
      <w:r w:rsidRPr="00786C6C">
        <w:rPr>
          <w:sz w:val="20"/>
          <w:szCs w:val="20"/>
        </w:rPr>
        <w:t xml:space="preserve">details </w:t>
      </w:r>
      <w:r w:rsidR="00FD4C93" w:rsidRPr="00786C6C">
        <w:rPr>
          <w:sz w:val="20"/>
          <w:szCs w:val="20"/>
        </w:rPr>
        <w:t xml:space="preserve">and limitations </w:t>
      </w:r>
      <w:r w:rsidR="00A46450" w:rsidRPr="00786C6C">
        <w:rPr>
          <w:sz w:val="20"/>
          <w:szCs w:val="20"/>
        </w:rPr>
        <w:t xml:space="preserve">of </w:t>
      </w:r>
      <w:r w:rsidRPr="00786C6C">
        <w:rPr>
          <w:sz w:val="20"/>
          <w:szCs w:val="20"/>
        </w:rPr>
        <w:t>the process, please refer to the original source.</w:t>
      </w:r>
    </w:p>
    <w:p w14:paraId="41AC0EB7" w14:textId="5FE60519" w:rsidR="005843EE" w:rsidRDefault="000011F6" w:rsidP="00786C6C">
      <w:pPr>
        <w:ind w:left="360"/>
        <w:rPr>
          <w:rStyle w:val="Hyperlink"/>
          <w:sz w:val="20"/>
          <w:szCs w:val="20"/>
        </w:rPr>
      </w:pPr>
      <w:r w:rsidRPr="00786C6C">
        <w:rPr>
          <w:sz w:val="20"/>
          <w:szCs w:val="20"/>
        </w:rPr>
        <w:t xml:space="preserve">Original Source: </w:t>
      </w:r>
      <w:hyperlink r:id="rId21" w:history="1">
        <w:r w:rsidR="00C84562" w:rsidRPr="00786C6C">
          <w:rPr>
            <w:rStyle w:val="Hyperlink"/>
            <w:sz w:val="20"/>
            <w:szCs w:val="20"/>
          </w:rPr>
          <w:t>IEEE Author Name Change Policy - IEEE Author Center Journals</w:t>
        </w:r>
      </w:hyperlink>
    </w:p>
    <w:p w14:paraId="0C854177" w14:textId="77777777" w:rsidR="00BC6810" w:rsidRPr="00786C6C" w:rsidRDefault="00BC6810" w:rsidP="00786C6C">
      <w:pPr>
        <w:ind w:left="360"/>
        <w:rPr>
          <w:color w:val="467886" w:themeColor="hyperlink"/>
          <w:u w:val="single"/>
        </w:rPr>
      </w:pPr>
    </w:p>
    <w:p w14:paraId="51F5D6EB" w14:textId="683F69BC" w:rsidR="00931A5B" w:rsidRPr="005843EE" w:rsidRDefault="00931A5B" w:rsidP="00D668BF">
      <w:pPr>
        <w:pStyle w:val="ListParagraph"/>
        <w:numPr>
          <w:ilvl w:val="0"/>
          <w:numId w:val="2"/>
        </w:numPr>
        <w:rPr>
          <w:i/>
          <w:iCs/>
        </w:rPr>
      </w:pPr>
      <w:r w:rsidRPr="005843EE">
        <w:rPr>
          <w:i/>
          <w:iCs/>
        </w:rPr>
        <w:t>Inclusive Language Guide</w:t>
      </w:r>
      <w:r w:rsidR="00D668BF" w:rsidRPr="005843EE">
        <w:rPr>
          <w:i/>
          <w:iCs/>
        </w:rPr>
        <w:t xml:space="preserve"> </w:t>
      </w:r>
    </w:p>
    <w:p w14:paraId="34819DD4" w14:textId="76ADF374" w:rsidR="00A46450" w:rsidRPr="00786C6C" w:rsidRDefault="00A46450" w:rsidP="00A46450">
      <w:pPr>
        <w:ind w:left="360"/>
        <w:rPr>
          <w:sz w:val="20"/>
          <w:szCs w:val="20"/>
        </w:rPr>
      </w:pPr>
      <w:proofErr w:type="gramStart"/>
      <w:r w:rsidRPr="00786C6C">
        <w:rPr>
          <w:sz w:val="20"/>
          <w:szCs w:val="20"/>
        </w:rPr>
        <w:t xml:space="preserve">In </w:t>
      </w:r>
      <w:r w:rsidR="000B4371" w:rsidRPr="00786C6C">
        <w:rPr>
          <w:sz w:val="20"/>
          <w:szCs w:val="20"/>
        </w:rPr>
        <w:t>an</w:t>
      </w:r>
      <w:r w:rsidRPr="00786C6C">
        <w:rPr>
          <w:sz w:val="20"/>
          <w:szCs w:val="20"/>
        </w:rPr>
        <w:t xml:space="preserve"> effort to</w:t>
      </w:r>
      <w:proofErr w:type="gramEnd"/>
      <w:r w:rsidRPr="00786C6C">
        <w:rPr>
          <w:sz w:val="20"/>
          <w:szCs w:val="20"/>
        </w:rPr>
        <w:t xml:space="preserve"> minimiz</w:t>
      </w:r>
      <w:r w:rsidR="000B4371" w:rsidRPr="00786C6C">
        <w:rPr>
          <w:sz w:val="20"/>
          <w:szCs w:val="20"/>
        </w:rPr>
        <w:t>e</w:t>
      </w:r>
      <w:r w:rsidRPr="00786C6C">
        <w:rPr>
          <w:sz w:val="20"/>
          <w:szCs w:val="20"/>
        </w:rPr>
        <w:t xml:space="preserve"> potential</w:t>
      </w:r>
      <w:r w:rsidR="000B4371" w:rsidRPr="00786C6C">
        <w:rPr>
          <w:sz w:val="20"/>
          <w:szCs w:val="20"/>
        </w:rPr>
        <w:t>ly</w:t>
      </w:r>
      <w:r w:rsidRPr="00786C6C">
        <w:rPr>
          <w:sz w:val="20"/>
          <w:szCs w:val="20"/>
        </w:rPr>
        <w:t xml:space="preserve"> offensive language while promoting inclusive language usage, it is recommended that authors refer to this guide </w:t>
      </w:r>
      <w:r w:rsidR="000B4371" w:rsidRPr="00786C6C">
        <w:rPr>
          <w:sz w:val="20"/>
          <w:szCs w:val="20"/>
        </w:rPr>
        <w:t>to avoid using</w:t>
      </w:r>
      <w:r w:rsidRPr="00786C6C">
        <w:rPr>
          <w:sz w:val="20"/>
          <w:szCs w:val="20"/>
        </w:rPr>
        <w:t xml:space="preserve"> terms or phrases</w:t>
      </w:r>
      <w:r w:rsidR="000B4371" w:rsidRPr="00786C6C">
        <w:rPr>
          <w:sz w:val="20"/>
          <w:szCs w:val="20"/>
        </w:rPr>
        <w:t xml:space="preserve"> that could be seen as insensitive</w:t>
      </w:r>
      <w:r w:rsidR="00222AD1" w:rsidRPr="00786C6C">
        <w:rPr>
          <w:sz w:val="20"/>
          <w:szCs w:val="20"/>
        </w:rPr>
        <w:t xml:space="preserve"> when necessary</w:t>
      </w:r>
      <w:r w:rsidRPr="00786C6C">
        <w:rPr>
          <w:sz w:val="20"/>
          <w:szCs w:val="20"/>
        </w:rPr>
        <w:t xml:space="preserve">. </w:t>
      </w:r>
    </w:p>
    <w:p w14:paraId="262B5DC0" w14:textId="407DCFDB" w:rsidR="00A46450" w:rsidRPr="00786C6C" w:rsidRDefault="00931A5B" w:rsidP="00A46450">
      <w:pPr>
        <w:ind w:left="360"/>
        <w:rPr>
          <w:sz w:val="20"/>
          <w:szCs w:val="20"/>
        </w:rPr>
      </w:pPr>
      <w:r w:rsidRPr="00786C6C">
        <w:rPr>
          <w:sz w:val="20"/>
          <w:szCs w:val="20"/>
          <w:u w:val="single"/>
        </w:rPr>
        <w:t>Overall recommendations</w:t>
      </w:r>
      <w:r w:rsidRPr="00786C6C">
        <w:rPr>
          <w:sz w:val="20"/>
          <w:szCs w:val="20"/>
        </w:rPr>
        <w:t xml:space="preserve">: </w:t>
      </w:r>
    </w:p>
    <w:p w14:paraId="65512AE5" w14:textId="77777777" w:rsidR="00A46450" w:rsidRPr="00786C6C" w:rsidRDefault="00931A5B" w:rsidP="00A46450">
      <w:pPr>
        <w:pStyle w:val="ListParagraph"/>
        <w:numPr>
          <w:ilvl w:val="0"/>
          <w:numId w:val="4"/>
        </w:numPr>
        <w:rPr>
          <w:sz w:val="20"/>
          <w:szCs w:val="20"/>
        </w:rPr>
      </w:pPr>
      <w:r w:rsidRPr="00786C6C">
        <w:rPr>
          <w:sz w:val="20"/>
          <w:szCs w:val="20"/>
        </w:rPr>
        <w:t xml:space="preserve">Use “people-first language,” i.e., the person has X; has been diagnosed with X; uses a X; etc. </w:t>
      </w:r>
      <w:r w:rsidR="00A46450" w:rsidRPr="00786C6C">
        <w:rPr>
          <w:sz w:val="20"/>
          <w:szCs w:val="20"/>
        </w:rPr>
        <w:t xml:space="preserve"> </w:t>
      </w:r>
    </w:p>
    <w:p w14:paraId="4D73DDE9" w14:textId="552FF2BA" w:rsidR="00931A5B" w:rsidRPr="00786C6C" w:rsidRDefault="00931A5B" w:rsidP="00A46450">
      <w:pPr>
        <w:pStyle w:val="ListParagraph"/>
        <w:numPr>
          <w:ilvl w:val="0"/>
          <w:numId w:val="4"/>
        </w:numPr>
        <w:rPr>
          <w:sz w:val="20"/>
          <w:szCs w:val="20"/>
        </w:rPr>
      </w:pPr>
      <w:r w:rsidRPr="00786C6C">
        <w:rPr>
          <w:sz w:val="20"/>
          <w:szCs w:val="20"/>
        </w:rPr>
        <w:t xml:space="preserve">Do not spell out the acronyms LGBTQIA+, LGBT, LGBTQ, </w:t>
      </w:r>
      <w:r w:rsidR="00915265" w:rsidRPr="00786C6C">
        <w:rPr>
          <w:sz w:val="20"/>
          <w:szCs w:val="20"/>
        </w:rPr>
        <w:t xml:space="preserve">and </w:t>
      </w:r>
      <w:r w:rsidRPr="00786C6C">
        <w:rPr>
          <w:sz w:val="20"/>
          <w:szCs w:val="20"/>
        </w:rPr>
        <w:t>LGBTQIA.</w:t>
      </w:r>
    </w:p>
    <w:tbl>
      <w:tblPr>
        <w:tblStyle w:val="TableGrid"/>
        <w:tblW w:w="11199" w:type="dxa"/>
        <w:tblInd w:w="-856" w:type="dxa"/>
        <w:tblLook w:val="04A0" w:firstRow="1" w:lastRow="0" w:firstColumn="1" w:lastColumn="0" w:noHBand="0" w:noVBand="1"/>
      </w:tblPr>
      <w:tblGrid>
        <w:gridCol w:w="3050"/>
        <w:gridCol w:w="2306"/>
        <w:gridCol w:w="3292"/>
        <w:gridCol w:w="2551"/>
      </w:tblGrid>
      <w:tr w:rsidR="00B41C5F" w:rsidRPr="00786C6C" w14:paraId="785AEF80" w14:textId="77777777" w:rsidTr="00B41C5F">
        <w:tc>
          <w:tcPr>
            <w:tcW w:w="3050" w:type="dxa"/>
          </w:tcPr>
          <w:p w14:paraId="11D7845B" w14:textId="5FB47D66" w:rsidR="00931A5B" w:rsidRPr="00786C6C" w:rsidRDefault="00931A5B" w:rsidP="00931A5B">
            <w:pPr>
              <w:rPr>
                <w:b/>
                <w:bCs/>
                <w:sz w:val="20"/>
                <w:szCs w:val="20"/>
                <w:u w:val="single"/>
              </w:rPr>
            </w:pPr>
            <w:r w:rsidRPr="00786C6C">
              <w:rPr>
                <w:b/>
                <w:bCs/>
                <w:sz w:val="20"/>
                <w:szCs w:val="20"/>
                <w:u w:val="single"/>
              </w:rPr>
              <w:t>Insensitive Term/Phrase</w:t>
            </w:r>
          </w:p>
        </w:tc>
        <w:tc>
          <w:tcPr>
            <w:tcW w:w="2306" w:type="dxa"/>
          </w:tcPr>
          <w:p w14:paraId="13FD5EEB" w14:textId="11AE068D" w:rsidR="00931A5B" w:rsidRPr="00786C6C" w:rsidRDefault="00931A5B" w:rsidP="00931A5B">
            <w:pPr>
              <w:rPr>
                <w:b/>
                <w:bCs/>
                <w:sz w:val="20"/>
                <w:szCs w:val="20"/>
                <w:u w:val="single"/>
              </w:rPr>
            </w:pPr>
            <w:r w:rsidRPr="00786C6C">
              <w:rPr>
                <w:b/>
                <w:bCs/>
                <w:sz w:val="20"/>
                <w:szCs w:val="20"/>
                <w:u w:val="single"/>
              </w:rPr>
              <w:t>Replace With</w:t>
            </w:r>
          </w:p>
        </w:tc>
        <w:tc>
          <w:tcPr>
            <w:tcW w:w="3292" w:type="dxa"/>
          </w:tcPr>
          <w:p w14:paraId="7A2F1843" w14:textId="4799F0C2" w:rsidR="00931A5B" w:rsidRPr="00786C6C" w:rsidRDefault="00931A5B" w:rsidP="00931A5B">
            <w:pPr>
              <w:rPr>
                <w:b/>
                <w:bCs/>
                <w:sz w:val="20"/>
                <w:szCs w:val="20"/>
                <w:u w:val="single"/>
              </w:rPr>
            </w:pPr>
            <w:r w:rsidRPr="00786C6C">
              <w:rPr>
                <w:b/>
                <w:bCs/>
                <w:sz w:val="20"/>
                <w:szCs w:val="20"/>
                <w:u w:val="single"/>
              </w:rPr>
              <w:t>Definition/Background</w:t>
            </w:r>
          </w:p>
        </w:tc>
        <w:tc>
          <w:tcPr>
            <w:tcW w:w="2551" w:type="dxa"/>
          </w:tcPr>
          <w:p w14:paraId="7BC2B9B3" w14:textId="36DA372F" w:rsidR="00931A5B" w:rsidRPr="00786C6C" w:rsidRDefault="00931A5B" w:rsidP="00931A5B">
            <w:pPr>
              <w:rPr>
                <w:b/>
                <w:bCs/>
                <w:sz w:val="20"/>
                <w:szCs w:val="20"/>
                <w:u w:val="single"/>
              </w:rPr>
            </w:pPr>
            <w:r w:rsidRPr="00786C6C">
              <w:rPr>
                <w:b/>
                <w:bCs/>
                <w:sz w:val="20"/>
                <w:szCs w:val="20"/>
                <w:u w:val="single"/>
              </w:rPr>
              <w:t>Additional Notes</w:t>
            </w:r>
          </w:p>
        </w:tc>
      </w:tr>
      <w:tr w:rsidR="00B41C5F" w:rsidRPr="00786C6C" w14:paraId="6CE2D012" w14:textId="77777777" w:rsidTr="00B41C5F">
        <w:tc>
          <w:tcPr>
            <w:tcW w:w="3050" w:type="dxa"/>
          </w:tcPr>
          <w:p w14:paraId="53A2FBDB" w14:textId="18039CC0" w:rsidR="00931A5B" w:rsidRPr="00786C6C" w:rsidRDefault="00931A5B" w:rsidP="00F67BE6">
            <w:pPr>
              <w:rPr>
                <w:sz w:val="20"/>
                <w:szCs w:val="20"/>
              </w:rPr>
            </w:pPr>
            <w:r w:rsidRPr="00786C6C">
              <w:rPr>
                <w:sz w:val="20"/>
                <w:szCs w:val="20"/>
              </w:rPr>
              <w:t>A.D. (when referencing history/time)</w:t>
            </w:r>
          </w:p>
        </w:tc>
        <w:tc>
          <w:tcPr>
            <w:tcW w:w="2306" w:type="dxa"/>
          </w:tcPr>
          <w:p w14:paraId="2EA4F23A" w14:textId="08E47558" w:rsidR="00931A5B" w:rsidRPr="00786C6C" w:rsidRDefault="00931A5B" w:rsidP="00F67BE6">
            <w:pPr>
              <w:rPr>
                <w:sz w:val="20"/>
                <w:szCs w:val="20"/>
              </w:rPr>
            </w:pPr>
            <w:r w:rsidRPr="00786C6C">
              <w:rPr>
                <w:sz w:val="20"/>
                <w:szCs w:val="20"/>
              </w:rPr>
              <w:t>C.E., common era</w:t>
            </w:r>
          </w:p>
        </w:tc>
        <w:tc>
          <w:tcPr>
            <w:tcW w:w="3292" w:type="dxa"/>
          </w:tcPr>
          <w:p w14:paraId="08ED639B" w14:textId="54444387" w:rsidR="00931A5B" w:rsidRPr="00786C6C" w:rsidRDefault="00931A5B" w:rsidP="00F67BE6">
            <w:pPr>
              <w:rPr>
                <w:sz w:val="20"/>
                <w:szCs w:val="20"/>
              </w:rPr>
            </w:pPr>
            <w:r w:rsidRPr="00786C6C">
              <w:rPr>
                <w:sz w:val="20"/>
                <w:szCs w:val="20"/>
              </w:rPr>
              <w:t>Abbreviation of the Latin phrase anno Domini, translated as “the year of the Lord.” Traditionally, it is used to date years after the birth of Jesus</w:t>
            </w:r>
            <w:r w:rsidR="00F67BE6" w:rsidRPr="00786C6C">
              <w:rPr>
                <w:sz w:val="20"/>
                <w:szCs w:val="20"/>
              </w:rPr>
              <w:t>.</w:t>
            </w:r>
          </w:p>
        </w:tc>
        <w:tc>
          <w:tcPr>
            <w:tcW w:w="2551" w:type="dxa"/>
          </w:tcPr>
          <w:p w14:paraId="1612DE32" w14:textId="5EC92A49" w:rsidR="00931A5B" w:rsidRPr="00786C6C" w:rsidRDefault="00931A5B" w:rsidP="00F67BE6">
            <w:pPr>
              <w:rPr>
                <w:sz w:val="20"/>
                <w:szCs w:val="20"/>
              </w:rPr>
            </w:pPr>
            <w:r w:rsidRPr="00786C6C">
              <w:rPr>
                <w:sz w:val="20"/>
                <w:szCs w:val="20"/>
              </w:rPr>
              <w:t>This contradicts AP style.</w:t>
            </w:r>
          </w:p>
        </w:tc>
      </w:tr>
      <w:tr w:rsidR="00B41C5F" w:rsidRPr="00786C6C" w14:paraId="6A25F27C" w14:textId="77777777" w:rsidTr="00B41C5F">
        <w:tc>
          <w:tcPr>
            <w:tcW w:w="3050" w:type="dxa"/>
          </w:tcPr>
          <w:p w14:paraId="54552D50" w14:textId="2B2DBA58" w:rsidR="00931A5B" w:rsidRPr="00786C6C" w:rsidRDefault="00931A5B" w:rsidP="00931A5B">
            <w:pPr>
              <w:rPr>
                <w:sz w:val="20"/>
                <w:szCs w:val="20"/>
              </w:rPr>
            </w:pPr>
            <w:r w:rsidRPr="00786C6C">
              <w:rPr>
                <w:sz w:val="20"/>
                <w:szCs w:val="20"/>
              </w:rPr>
              <w:t>Able-bodied</w:t>
            </w:r>
          </w:p>
        </w:tc>
        <w:tc>
          <w:tcPr>
            <w:tcW w:w="2306" w:type="dxa"/>
          </w:tcPr>
          <w:p w14:paraId="62B829C1" w14:textId="6EBBEC56" w:rsidR="00931A5B" w:rsidRPr="00786C6C" w:rsidRDefault="00931A5B" w:rsidP="00931A5B">
            <w:pPr>
              <w:rPr>
                <w:sz w:val="20"/>
                <w:szCs w:val="20"/>
              </w:rPr>
            </w:pPr>
            <w:r w:rsidRPr="00786C6C">
              <w:rPr>
                <w:sz w:val="20"/>
                <w:szCs w:val="20"/>
              </w:rPr>
              <w:t>non-disabled/does not have a disability</w:t>
            </w:r>
          </w:p>
        </w:tc>
        <w:tc>
          <w:tcPr>
            <w:tcW w:w="3292" w:type="dxa"/>
          </w:tcPr>
          <w:p w14:paraId="4E26CD32" w14:textId="77777777" w:rsidR="00931A5B" w:rsidRPr="00786C6C" w:rsidRDefault="00931A5B" w:rsidP="00931A5B">
            <w:pPr>
              <w:rPr>
                <w:sz w:val="20"/>
                <w:szCs w:val="20"/>
              </w:rPr>
            </w:pPr>
          </w:p>
        </w:tc>
        <w:tc>
          <w:tcPr>
            <w:tcW w:w="2551" w:type="dxa"/>
          </w:tcPr>
          <w:p w14:paraId="419AC936" w14:textId="77777777" w:rsidR="00931A5B" w:rsidRPr="00786C6C" w:rsidRDefault="00931A5B" w:rsidP="00931A5B">
            <w:pPr>
              <w:rPr>
                <w:sz w:val="20"/>
                <w:szCs w:val="20"/>
              </w:rPr>
            </w:pPr>
          </w:p>
        </w:tc>
      </w:tr>
      <w:tr w:rsidR="00B41C5F" w:rsidRPr="00786C6C" w14:paraId="3ED93148" w14:textId="77777777" w:rsidTr="00B41C5F">
        <w:tc>
          <w:tcPr>
            <w:tcW w:w="3050" w:type="dxa"/>
          </w:tcPr>
          <w:p w14:paraId="4CD45F08" w14:textId="786373EF" w:rsidR="00931A5B" w:rsidRPr="00786C6C" w:rsidRDefault="00931A5B" w:rsidP="00931A5B">
            <w:pPr>
              <w:rPr>
                <w:sz w:val="20"/>
                <w:szCs w:val="20"/>
              </w:rPr>
            </w:pPr>
            <w:r w:rsidRPr="00786C6C">
              <w:rPr>
                <w:sz w:val="20"/>
                <w:szCs w:val="20"/>
              </w:rPr>
              <w:t>Afro-American/Negro/ Colored/Nigger (in reference to race)</w:t>
            </w:r>
          </w:p>
        </w:tc>
        <w:tc>
          <w:tcPr>
            <w:tcW w:w="2306" w:type="dxa"/>
          </w:tcPr>
          <w:p w14:paraId="0A4E8389" w14:textId="74746B9F" w:rsidR="00931A5B" w:rsidRPr="00786C6C" w:rsidRDefault="00931A5B" w:rsidP="00931A5B">
            <w:pPr>
              <w:rPr>
                <w:sz w:val="20"/>
                <w:szCs w:val="20"/>
              </w:rPr>
            </w:pPr>
            <w:r w:rsidRPr="00786C6C">
              <w:rPr>
                <w:sz w:val="20"/>
                <w:szCs w:val="20"/>
              </w:rPr>
              <w:t>Avoid in all instances; African American*; Black†</w:t>
            </w:r>
          </w:p>
        </w:tc>
        <w:tc>
          <w:tcPr>
            <w:tcW w:w="3292" w:type="dxa"/>
          </w:tcPr>
          <w:p w14:paraId="0118D925" w14:textId="152B2CDD" w:rsidR="00931A5B" w:rsidRPr="00786C6C" w:rsidRDefault="006D6D2E" w:rsidP="00931A5B">
            <w:pPr>
              <w:rPr>
                <w:sz w:val="20"/>
                <w:szCs w:val="20"/>
              </w:rPr>
            </w:pPr>
            <w:r w:rsidRPr="00786C6C">
              <w:rPr>
                <w:sz w:val="20"/>
                <w:szCs w:val="20"/>
              </w:rPr>
              <w:t xml:space="preserve">People of African descent have widely varied cultural backgrounds, family histories, and family experiences. Some will be from Caribbean islands, Latin America, various regions in the United States, countries in Africa, or elsewhere. Some American people of African ancestry prefer “Black,” and others prefer “African </w:t>
            </w:r>
            <w:r w:rsidRPr="00786C6C">
              <w:rPr>
                <w:sz w:val="20"/>
                <w:szCs w:val="20"/>
              </w:rPr>
              <w:lastRenderedPageBreak/>
              <w:t>American”; both terms are acceptable.</w:t>
            </w:r>
          </w:p>
        </w:tc>
        <w:tc>
          <w:tcPr>
            <w:tcW w:w="2551" w:type="dxa"/>
          </w:tcPr>
          <w:p w14:paraId="314F00A9" w14:textId="5B78BE4E" w:rsidR="00931A5B" w:rsidRPr="00786C6C" w:rsidRDefault="006D6D2E" w:rsidP="00931A5B">
            <w:pPr>
              <w:rPr>
                <w:sz w:val="20"/>
                <w:szCs w:val="20"/>
              </w:rPr>
            </w:pPr>
            <w:r w:rsidRPr="00786C6C">
              <w:rPr>
                <w:sz w:val="20"/>
                <w:szCs w:val="20"/>
              </w:rPr>
              <w:lastRenderedPageBreak/>
              <w:t>* Specific to people of specific African descent; not to be used as an umbrella for people of African ancestry worldwide.</w:t>
            </w:r>
            <w:r w:rsidR="0097377C" w:rsidRPr="00786C6C">
              <w:rPr>
                <w:sz w:val="20"/>
                <w:szCs w:val="20"/>
              </w:rPr>
              <w:t xml:space="preserve">    </w:t>
            </w:r>
            <w:r w:rsidRPr="00786C6C">
              <w:rPr>
                <w:sz w:val="20"/>
                <w:szCs w:val="20"/>
              </w:rPr>
              <w:t xml:space="preserve"> † Widely accepted to encompass multiple ethnicities and/or national origins.</w:t>
            </w:r>
          </w:p>
        </w:tc>
      </w:tr>
      <w:tr w:rsidR="00B41C5F" w:rsidRPr="00786C6C" w14:paraId="01C7FD8B" w14:textId="77777777" w:rsidTr="00B41C5F">
        <w:trPr>
          <w:trHeight w:val="973"/>
        </w:trPr>
        <w:tc>
          <w:tcPr>
            <w:tcW w:w="3050" w:type="dxa"/>
          </w:tcPr>
          <w:p w14:paraId="2D446CFD" w14:textId="1F89119E" w:rsidR="00931A5B" w:rsidRPr="00786C6C" w:rsidRDefault="006D6D2E" w:rsidP="00931A5B">
            <w:pPr>
              <w:rPr>
                <w:sz w:val="20"/>
                <w:szCs w:val="20"/>
              </w:rPr>
            </w:pPr>
            <w:r w:rsidRPr="00786C6C">
              <w:rPr>
                <w:sz w:val="20"/>
                <w:szCs w:val="20"/>
              </w:rPr>
              <w:t>B.C. (when referencing history/time)</w:t>
            </w:r>
          </w:p>
        </w:tc>
        <w:tc>
          <w:tcPr>
            <w:tcW w:w="2306" w:type="dxa"/>
          </w:tcPr>
          <w:p w14:paraId="3515EF31" w14:textId="4F3641CD" w:rsidR="00931A5B" w:rsidRPr="00786C6C" w:rsidRDefault="006D6D2E" w:rsidP="00931A5B">
            <w:pPr>
              <w:rPr>
                <w:sz w:val="20"/>
                <w:szCs w:val="20"/>
              </w:rPr>
            </w:pPr>
            <w:r w:rsidRPr="00786C6C">
              <w:rPr>
                <w:sz w:val="20"/>
                <w:szCs w:val="20"/>
              </w:rPr>
              <w:t>B.C.E., before common era</w:t>
            </w:r>
          </w:p>
        </w:tc>
        <w:tc>
          <w:tcPr>
            <w:tcW w:w="3292" w:type="dxa"/>
          </w:tcPr>
          <w:p w14:paraId="2585F701" w14:textId="4B21E18F" w:rsidR="00931A5B" w:rsidRPr="00786C6C" w:rsidRDefault="006D6D2E" w:rsidP="00931A5B">
            <w:pPr>
              <w:rPr>
                <w:sz w:val="20"/>
                <w:szCs w:val="20"/>
              </w:rPr>
            </w:pPr>
            <w:r w:rsidRPr="00786C6C">
              <w:rPr>
                <w:sz w:val="20"/>
                <w:szCs w:val="20"/>
              </w:rPr>
              <w:t>Literally, before Christ or the Christian era.</w:t>
            </w:r>
          </w:p>
        </w:tc>
        <w:tc>
          <w:tcPr>
            <w:tcW w:w="2551" w:type="dxa"/>
          </w:tcPr>
          <w:p w14:paraId="1F61B0CA" w14:textId="12C0E6F3" w:rsidR="00931A5B" w:rsidRPr="00786C6C" w:rsidRDefault="006D6D2E" w:rsidP="00931A5B">
            <w:pPr>
              <w:rPr>
                <w:sz w:val="20"/>
                <w:szCs w:val="20"/>
              </w:rPr>
            </w:pPr>
            <w:r w:rsidRPr="00786C6C">
              <w:rPr>
                <w:sz w:val="20"/>
                <w:szCs w:val="20"/>
              </w:rPr>
              <w:t>This contradicts AP style.</w:t>
            </w:r>
          </w:p>
        </w:tc>
      </w:tr>
      <w:tr w:rsidR="00B41C5F" w:rsidRPr="00786C6C" w14:paraId="40A9374A" w14:textId="77777777" w:rsidTr="00B41C5F">
        <w:trPr>
          <w:trHeight w:val="1129"/>
        </w:trPr>
        <w:tc>
          <w:tcPr>
            <w:tcW w:w="3050" w:type="dxa"/>
          </w:tcPr>
          <w:p w14:paraId="70566DE6" w14:textId="3F166AE5" w:rsidR="00931A5B" w:rsidRPr="00786C6C" w:rsidRDefault="006D6D2E" w:rsidP="00931A5B">
            <w:pPr>
              <w:rPr>
                <w:sz w:val="20"/>
                <w:szCs w:val="20"/>
              </w:rPr>
            </w:pPr>
            <w:r w:rsidRPr="00786C6C">
              <w:rPr>
                <w:sz w:val="20"/>
                <w:szCs w:val="20"/>
              </w:rPr>
              <w:t>Black box</w:t>
            </w:r>
          </w:p>
        </w:tc>
        <w:tc>
          <w:tcPr>
            <w:tcW w:w="2306" w:type="dxa"/>
          </w:tcPr>
          <w:p w14:paraId="3EC2F76F" w14:textId="2AD6045E" w:rsidR="00931A5B" w:rsidRPr="00786C6C" w:rsidRDefault="006D6D2E" w:rsidP="00931A5B">
            <w:pPr>
              <w:rPr>
                <w:sz w:val="20"/>
                <w:szCs w:val="20"/>
              </w:rPr>
            </w:pPr>
            <w:r w:rsidRPr="00786C6C">
              <w:rPr>
                <w:sz w:val="20"/>
                <w:szCs w:val="20"/>
              </w:rPr>
              <w:t>Closed box</w:t>
            </w:r>
          </w:p>
        </w:tc>
        <w:tc>
          <w:tcPr>
            <w:tcW w:w="3292" w:type="dxa"/>
          </w:tcPr>
          <w:p w14:paraId="589B36DD" w14:textId="77777777" w:rsidR="00931A5B" w:rsidRPr="00786C6C" w:rsidRDefault="00931A5B" w:rsidP="00931A5B">
            <w:pPr>
              <w:rPr>
                <w:sz w:val="20"/>
                <w:szCs w:val="20"/>
              </w:rPr>
            </w:pPr>
          </w:p>
        </w:tc>
        <w:tc>
          <w:tcPr>
            <w:tcW w:w="2551" w:type="dxa"/>
          </w:tcPr>
          <w:p w14:paraId="55949872" w14:textId="7A1835A1" w:rsidR="00931A5B" w:rsidRPr="00786C6C" w:rsidRDefault="006D6D2E" w:rsidP="00931A5B">
            <w:pPr>
              <w:rPr>
                <w:sz w:val="20"/>
                <w:szCs w:val="20"/>
              </w:rPr>
            </w:pPr>
            <w:r w:rsidRPr="00786C6C">
              <w:rPr>
                <w:sz w:val="20"/>
                <w:szCs w:val="20"/>
              </w:rPr>
              <w:t>Preferred term from IEEE Thesaurus</w:t>
            </w:r>
          </w:p>
        </w:tc>
      </w:tr>
      <w:tr w:rsidR="00B41C5F" w:rsidRPr="00786C6C" w14:paraId="2772F629" w14:textId="77777777" w:rsidTr="00B41C5F">
        <w:tc>
          <w:tcPr>
            <w:tcW w:w="3050" w:type="dxa"/>
          </w:tcPr>
          <w:p w14:paraId="36BADE9C" w14:textId="68C4C790" w:rsidR="00931A5B" w:rsidRPr="00786C6C" w:rsidRDefault="006D6D2E" w:rsidP="00931A5B">
            <w:pPr>
              <w:rPr>
                <w:sz w:val="20"/>
                <w:szCs w:val="20"/>
              </w:rPr>
            </w:pPr>
            <w:r w:rsidRPr="00786C6C">
              <w:rPr>
                <w:sz w:val="20"/>
                <w:szCs w:val="20"/>
              </w:rPr>
              <w:t xml:space="preserve">Blacklist; </w:t>
            </w:r>
            <w:proofErr w:type="gramStart"/>
            <w:r w:rsidRPr="00786C6C">
              <w:rPr>
                <w:sz w:val="20"/>
                <w:szCs w:val="20"/>
              </w:rPr>
              <w:t>black list</w:t>
            </w:r>
            <w:proofErr w:type="gramEnd"/>
          </w:p>
        </w:tc>
        <w:tc>
          <w:tcPr>
            <w:tcW w:w="2306" w:type="dxa"/>
          </w:tcPr>
          <w:p w14:paraId="39FAE083" w14:textId="72BBF625" w:rsidR="00931A5B" w:rsidRPr="00786C6C" w:rsidRDefault="006D6D2E" w:rsidP="00931A5B">
            <w:pPr>
              <w:rPr>
                <w:sz w:val="20"/>
                <w:szCs w:val="20"/>
              </w:rPr>
            </w:pPr>
            <w:r w:rsidRPr="00786C6C">
              <w:rPr>
                <w:sz w:val="20"/>
                <w:szCs w:val="20"/>
              </w:rPr>
              <w:t>Blocklist; block list</w:t>
            </w:r>
          </w:p>
        </w:tc>
        <w:tc>
          <w:tcPr>
            <w:tcW w:w="3292" w:type="dxa"/>
          </w:tcPr>
          <w:p w14:paraId="6883D342" w14:textId="75C0B902" w:rsidR="00931A5B" w:rsidRPr="00786C6C" w:rsidRDefault="006D6D2E" w:rsidP="00931A5B">
            <w:pPr>
              <w:rPr>
                <w:sz w:val="20"/>
                <w:szCs w:val="20"/>
              </w:rPr>
            </w:pPr>
            <w:r w:rsidRPr="00786C6C">
              <w:rPr>
                <w:sz w:val="20"/>
                <w:szCs w:val="20"/>
              </w:rPr>
              <w:t>The Hollywood blacklist was instituted by the House Un-American Activities Committee in 1947 to block screenwriters and other Hollywood professionals who were purported to have Communist sympathies from obtaining employment. A list or compilation that identifies entities that are denied, unrecognized, or ostracized. The term's racist connotations derive from the idea that black equates to negative; this view can be controversial.</w:t>
            </w:r>
          </w:p>
        </w:tc>
        <w:tc>
          <w:tcPr>
            <w:tcW w:w="2551" w:type="dxa"/>
          </w:tcPr>
          <w:p w14:paraId="244C8ABB" w14:textId="2EB6F403" w:rsidR="00931A5B" w:rsidRPr="00786C6C" w:rsidRDefault="006D6D2E" w:rsidP="00931A5B">
            <w:pPr>
              <w:rPr>
                <w:sz w:val="20"/>
                <w:szCs w:val="20"/>
              </w:rPr>
            </w:pPr>
            <w:r w:rsidRPr="00786C6C">
              <w:rPr>
                <w:sz w:val="20"/>
                <w:szCs w:val="20"/>
              </w:rPr>
              <w:t>Preferred term from IEEE Thesaurus</w:t>
            </w:r>
          </w:p>
        </w:tc>
      </w:tr>
      <w:tr w:rsidR="00B41C5F" w:rsidRPr="00786C6C" w14:paraId="7EF365FA" w14:textId="77777777" w:rsidTr="00B41C5F">
        <w:trPr>
          <w:trHeight w:val="2542"/>
        </w:trPr>
        <w:tc>
          <w:tcPr>
            <w:tcW w:w="3050" w:type="dxa"/>
          </w:tcPr>
          <w:p w14:paraId="005A4EA7" w14:textId="1F61EB87" w:rsidR="00931A5B" w:rsidRPr="00786C6C" w:rsidRDefault="006D6D2E" w:rsidP="00F67BE6">
            <w:pPr>
              <w:rPr>
                <w:sz w:val="20"/>
                <w:szCs w:val="20"/>
              </w:rPr>
            </w:pPr>
            <w:r w:rsidRPr="00786C6C">
              <w:rPr>
                <w:sz w:val="20"/>
                <w:szCs w:val="20"/>
              </w:rPr>
              <w:t>Blind</w:t>
            </w:r>
          </w:p>
        </w:tc>
        <w:tc>
          <w:tcPr>
            <w:tcW w:w="2306" w:type="dxa"/>
          </w:tcPr>
          <w:p w14:paraId="23880249" w14:textId="668EA2EA" w:rsidR="00931A5B" w:rsidRPr="00786C6C" w:rsidRDefault="006D6D2E" w:rsidP="00F67BE6">
            <w:pPr>
              <w:rPr>
                <w:sz w:val="20"/>
                <w:szCs w:val="20"/>
              </w:rPr>
            </w:pPr>
            <w:r w:rsidRPr="00786C6C">
              <w:rPr>
                <w:sz w:val="20"/>
                <w:szCs w:val="20"/>
              </w:rPr>
              <w:t>blind*; limited vision; low vision; partially sighted†</w:t>
            </w:r>
          </w:p>
        </w:tc>
        <w:tc>
          <w:tcPr>
            <w:tcW w:w="3292" w:type="dxa"/>
          </w:tcPr>
          <w:p w14:paraId="33CC650B" w14:textId="28F7E3F0" w:rsidR="00931A5B" w:rsidRPr="00786C6C" w:rsidRDefault="006D6D2E" w:rsidP="00F67BE6">
            <w:pPr>
              <w:rPr>
                <w:sz w:val="20"/>
                <w:szCs w:val="20"/>
              </w:rPr>
            </w:pPr>
            <w:r w:rsidRPr="00786C6C">
              <w:rPr>
                <w:sz w:val="20"/>
                <w:szCs w:val="20"/>
              </w:rPr>
              <w:t>According to the American Foundation for the Blind, the term “legally blind” denotes a person with 20/200 visual acuity or less. Therefore, “blind” or “legally blind” is acceptable for people with almost complete vision loss. Many people with vision loss are not considered blind.</w:t>
            </w:r>
          </w:p>
        </w:tc>
        <w:tc>
          <w:tcPr>
            <w:tcW w:w="2551" w:type="dxa"/>
          </w:tcPr>
          <w:p w14:paraId="434D138A" w14:textId="5F331001" w:rsidR="00931A5B" w:rsidRPr="00786C6C" w:rsidRDefault="006D6D2E" w:rsidP="00F67BE6">
            <w:pPr>
              <w:rPr>
                <w:sz w:val="20"/>
                <w:szCs w:val="20"/>
              </w:rPr>
            </w:pPr>
            <w:r w:rsidRPr="00786C6C">
              <w:rPr>
                <w:sz w:val="20"/>
                <w:szCs w:val="20"/>
              </w:rPr>
              <w:t xml:space="preserve">* Use only with people who are “legally </w:t>
            </w:r>
            <w:proofErr w:type="gramStart"/>
            <w:r w:rsidRPr="00786C6C">
              <w:rPr>
                <w:sz w:val="20"/>
                <w:szCs w:val="20"/>
              </w:rPr>
              <w:t xml:space="preserve">blind” </w:t>
            </w:r>
            <w:r w:rsidR="005C30B9" w:rsidRPr="00786C6C">
              <w:rPr>
                <w:sz w:val="20"/>
                <w:szCs w:val="20"/>
              </w:rPr>
              <w:t xml:space="preserve">  </w:t>
            </w:r>
            <w:proofErr w:type="gramEnd"/>
            <w:r w:rsidR="005C30B9" w:rsidRPr="00786C6C">
              <w:rPr>
                <w:sz w:val="20"/>
                <w:szCs w:val="20"/>
              </w:rPr>
              <w:t xml:space="preserve">      </w:t>
            </w:r>
            <w:r w:rsidRPr="00786C6C">
              <w:rPr>
                <w:sz w:val="20"/>
                <w:szCs w:val="20"/>
              </w:rPr>
              <w:t xml:space="preserve">(a person with 20/2000 visual acuity or less) </w:t>
            </w:r>
            <w:r w:rsidR="005C30B9" w:rsidRPr="00786C6C">
              <w:rPr>
                <w:sz w:val="20"/>
                <w:szCs w:val="20"/>
              </w:rPr>
              <w:t xml:space="preserve">           </w:t>
            </w:r>
            <w:r w:rsidRPr="00786C6C">
              <w:rPr>
                <w:sz w:val="20"/>
                <w:szCs w:val="20"/>
              </w:rPr>
              <w:t>† Used most often in British publications</w:t>
            </w:r>
          </w:p>
        </w:tc>
      </w:tr>
      <w:tr w:rsidR="00B41C5F" w:rsidRPr="00786C6C" w14:paraId="04FCB6D1" w14:textId="77777777" w:rsidTr="00B41C5F">
        <w:trPr>
          <w:trHeight w:val="841"/>
        </w:trPr>
        <w:tc>
          <w:tcPr>
            <w:tcW w:w="3050" w:type="dxa"/>
          </w:tcPr>
          <w:p w14:paraId="7F33F2CD" w14:textId="7BCD6069" w:rsidR="00931A5B" w:rsidRPr="00786C6C" w:rsidRDefault="006D6D2E" w:rsidP="00931A5B">
            <w:pPr>
              <w:rPr>
                <w:sz w:val="20"/>
                <w:szCs w:val="20"/>
              </w:rPr>
            </w:pPr>
            <w:r w:rsidRPr="00786C6C">
              <w:rPr>
                <w:sz w:val="20"/>
                <w:szCs w:val="20"/>
              </w:rPr>
              <w:t>Blind channel estimation</w:t>
            </w:r>
          </w:p>
        </w:tc>
        <w:tc>
          <w:tcPr>
            <w:tcW w:w="2306" w:type="dxa"/>
          </w:tcPr>
          <w:p w14:paraId="06F6A12E" w14:textId="7D0C11D9" w:rsidR="00931A5B" w:rsidRPr="00786C6C" w:rsidRDefault="006D6D2E" w:rsidP="00931A5B">
            <w:pPr>
              <w:rPr>
                <w:sz w:val="20"/>
                <w:szCs w:val="20"/>
              </w:rPr>
            </w:pPr>
            <w:r w:rsidRPr="00786C6C">
              <w:rPr>
                <w:sz w:val="20"/>
                <w:szCs w:val="20"/>
              </w:rPr>
              <w:t>Source signal equalizers</w:t>
            </w:r>
          </w:p>
        </w:tc>
        <w:tc>
          <w:tcPr>
            <w:tcW w:w="3292" w:type="dxa"/>
          </w:tcPr>
          <w:p w14:paraId="3E921B2E" w14:textId="77777777" w:rsidR="00931A5B" w:rsidRPr="00786C6C" w:rsidRDefault="00931A5B" w:rsidP="00931A5B">
            <w:pPr>
              <w:rPr>
                <w:sz w:val="20"/>
                <w:szCs w:val="20"/>
              </w:rPr>
            </w:pPr>
          </w:p>
        </w:tc>
        <w:tc>
          <w:tcPr>
            <w:tcW w:w="2551" w:type="dxa"/>
          </w:tcPr>
          <w:p w14:paraId="062999C4" w14:textId="13BF8C4D" w:rsidR="00931A5B" w:rsidRPr="00786C6C" w:rsidRDefault="006D6D2E" w:rsidP="00931A5B">
            <w:pPr>
              <w:rPr>
                <w:sz w:val="20"/>
                <w:szCs w:val="20"/>
              </w:rPr>
            </w:pPr>
            <w:r w:rsidRPr="00786C6C">
              <w:rPr>
                <w:sz w:val="20"/>
                <w:szCs w:val="20"/>
              </w:rPr>
              <w:t>Preferred term from IEEE Thesaurus</w:t>
            </w:r>
          </w:p>
        </w:tc>
      </w:tr>
      <w:tr w:rsidR="00B41C5F" w:rsidRPr="00786C6C" w14:paraId="4619A21D" w14:textId="77777777" w:rsidTr="00B41C5F">
        <w:trPr>
          <w:trHeight w:val="836"/>
        </w:trPr>
        <w:tc>
          <w:tcPr>
            <w:tcW w:w="3050" w:type="dxa"/>
          </w:tcPr>
          <w:p w14:paraId="57F8AA93" w14:textId="17705A53" w:rsidR="00931A5B" w:rsidRPr="00786C6C" w:rsidRDefault="006D6D2E" w:rsidP="00931A5B">
            <w:pPr>
              <w:rPr>
                <w:sz w:val="20"/>
                <w:szCs w:val="20"/>
              </w:rPr>
            </w:pPr>
            <w:r w:rsidRPr="00786C6C">
              <w:rPr>
                <w:sz w:val="20"/>
                <w:szCs w:val="20"/>
              </w:rPr>
              <w:t>Blind equalizers</w:t>
            </w:r>
          </w:p>
        </w:tc>
        <w:tc>
          <w:tcPr>
            <w:tcW w:w="2306" w:type="dxa"/>
          </w:tcPr>
          <w:p w14:paraId="79B4BD50" w14:textId="64262E03" w:rsidR="00931A5B" w:rsidRPr="00786C6C" w:rsidRDefault="006D6D2E" w:rsidP="00931A5B">
            <w:pPr>
              <w:rPr>
                <w:sz w:val="20"/>
                <w:szCs w:val="20"/>
              </w:rPr>
            </w:pPr>
            <w:r w:rsidRPr="00786C6C">
              <w:rPr>
                <w:sz w:val="20"/>
                <w:szCs w:val="20"/>
              </w:rPr>
              <w:t>Source signal equalizers</w:t>
            </w:r>
          </w:p>
        </w:tc>
        <w:tc>
          <w:tcPr>
            <w:tcW w:w="3292" w:type="dxa"/>
          </w:tcPr>
          <w:p w14:paraId="25CFA631" w14:textId="77777777" w:rsidR="00931A5B" w:rsidRPr="00786C6C" w:rsidRDefault="00931A5B" w:rsidP="00931A5B">
            <w:pPr>
              <w:rPr>
                <w:sz w:val="20"/>
                <w:szCs w:val="20"/>
              </w:rPr>
            </w:pPr>
          </w:p>
        </w:tc>
        <w:tc>
          <w:tcPr>
            <w:tcW w:w="2551" w:type="dxa"/>
          </w:tcPr>
          <w:p w14:paraId="2A2770A8" w14:textId="7A05AD93" w:rsidR="00931A5B" w:rsidRPr="00786C6C" w:rsidRDefault="006D6D2E" w:rsidP="00931A5B">
            <w:pPr>
              <w:rPr>
                <w:sz w:val="20"/>
                <w:szCs w:val="20"/>
              </w:rPr>
            </w:pPr>
            <w:r w:rsidRPr="00786C6C">
              <w:rPr>
                <w:sz w:val="20"/>
                <w:szCs w:val="20"/>
              </w:rPr>
              <w:t>Preferred term from IEEE Thesaurus</w:t>
            </w:r>
          </w:p>
        </w:tc>
      </w:tr>
      <w:tr w:rsidR="00B41C5F" w:rsidRPr="00786C6C" w14:paraId="3961A05F" w14:textId="77777777" w:rsidTr="00B41C5F">
        <w:trPr>
          <w:trHeight w:val="872"/>
        </w:trPr>
        <w:tc>
          <w:tcPr>
            <w:tcW w:w="3050" w:type="dxa"/>
          </w:tcPr>
          <w:p w14:paraId="606D1E81" w14:textId="19658DFD" w:rsidR="00931A5B" w:rsidRPr="00786C6C" w:rsidRDefault="006D6D2E" w:rsidP="00931A5B">
            <w:pPr>
              <w:rPr>
                <w:sz w:val="20"/>
                <w:szCs w:val="20"/>
              </w:rPr>
            </w:pPr>
            <w:r w:rsidRPr="00786C6C">
              <w:rPr>
                <w:sz w:val="20"/>
                <w:szCs w:val="20"/>
              </w:rPr>
              <w:t>Blind signal separation</w:t>
            </w:r>
          </w:p>
        </w:tc>
        <w:tc>
          <w:tcPr>
            <w:tcW w:w="2306" w:type="dxa"/>
          </w:tcPr>
          <w:p w14:paraId="55383140" w14:textId="661FC78E" w:rsidR="00931A5B" w:rsidRPr="00786C6C" w:rsidRDefault="006D6D2E" w:rsidP="00931A5B">
            <w:pPr>
              <w:rPr>
                <w:sz w:val="20"/>
                <w:szCs w:val="20"/>
              </w:rPr>
            </w:pPr>
            <w:r w:rsidRPr="00786C6C">
              <w:rPr>
                <w:sz w:val="20"/>
                <w:szCs w:val="20"/>
              </w:rPr>
              <w:t>Mix source separation</w:t>
            </w:r>
          </w:p>
        </w:tc>
        <w:tc>
          <w:tcPr>
            <w:tcW w:w="3292" w:type="dxa"/>
          </w:tcPr>
          <w:p w14:paraId="67C63DCA" w14:textId="77777777" w:rsidR="00931A5B" w:rsidRPr="00786C6C" w:rsidRDefault="00931A5B" w:rsidP="00931A5B">
            <w:pPr>
              <w:rPr>
                <w:sz w:val="20"/>
                <w:szCs w:val="20"/>
              </w:rPr>
            </w:pPr>
          </w:p>
        </w:tc>
        <w:tc>
          <w:tcPr>
            <w:tcW w:w="2551" w:type="dxa"/>
          </w:tcPr>
          <w:p w14:paraId="3B3D4A8C" w14:textId="1F4EEF66" w:rsidR="00931A5B" w:rsidRPr="00786C6C" w:rsidRDefault="006D6D2E" w:rsidP="00931A5B">
            <w:pPr>
              <w:rPr>
                <w:sz w:val="20"/>
                <w:szCs w:val="20"/>
              </w:rPr>
            </w:pPr>
            <w:r w:rsidRPr="00786C6C">
              <w:rPr>
                <w:sz w:val="20"/>
                <w:szCs w:val="20"/>
              </w:rPr>
              <w:t>Preferred term from IEEE Thesaurus</w:t>
            </w:r>
          </w:p>
        </w:tc>
      </w:tr>
      <w:tr w:rsidR="00B41C5F" w:rsidRPr="00786C6C" w14:paraId="06E6F471" w14:textId="77777777" w:rsidTr="00B41C5F">
        <w:trPr>
          <w:trHeight w:val="818"/>
        </w:trPr>
        <w:tc>
          <w:tcPr>
            <w:tcW w:w="3050" w:type="dxa"/>
          </w:tcPr>
          <w:p w14:paraId="7152293C" w14:textId="7B73D32E" w:rsidR="00931A5B" w:rsidRPr="00786C6C" w:rsidRDefault="006D6D2E" w:rsidP="00931A5B">
            <w:pPr>
              <w:rPr>
                <w:sz w:val="20"/>
                <w:szCs w:val="20"/>
              </w:rPr>
            </w:pPr>
            <w:r w:rsidRPr="00786C6C">
              <w:rPr>
                <w:sz w:val="20"/>
                <w:szCs w:val="20"/>
              </w:rPr>
              <w:lastRenderedPageBreak/>
              <w:t>Blind source separation</w:t>
            </w:r>
          </w:p>
        </w:tc>
        <w:tc>
          <w:tcPr>
            <w:tcW w:w="2306" w:type="dxa"/>
          </w:tcPr>
          <w:p w14:paraId="7804E2FF" w14:textId="1D607BE0" w:rsidR="00931A5B" w:rsidRPr="00786C6C" w:rsidRDefault="006D6D2E" w:rsidP="00931A5B">
            <w:pPr>
              <w:rPr>
                <w:sz w:val="20"/>
                <w:szCs w:val="20"/>
              </w:rPr>
            </w:pPr>
            <w:r w:rsidRPr="00786C6C">
              <w:rPr>
                <w:sz w:val="20"/>
                <w:szCs w:val="20"/>
              </w:rPr>
              <w:t>Mix source separation</w:t>
            </w:r>
          </w:p>
        </w:tc>
        <w:tc>
          <w:tcPr>
            <w:tcW w:w="3292" w:type="dxa"/>
          </w:tcPr>
          <w:p w14:paraId="6E8548BF" w14:textId="77777777" w:rsidR="00931A5B" w:rsidRPr="00786C6C" w:rsidRDefault="00931A5B" w:rsidP="00931A5B">
            <w:pPr>
              <w:rPr>
                <w:sz w:val="20"/>
                <w:szCs w:val="20"/>
              </w:rPr>
            </w:pPr>
          </w:p>
        </w:tc>
        <w:tc>
          <w:tcPr>
            <w:tcW w:w="2551" w:type="dxa"/>
          </w:tcPr>
          <w:p w14:paraId="0A44A7D3" w14:textId="69A30EE0" w:rsidR="00931A5B" w:rsidRPr="00786C6C" w:rsidRDefault="006D6D2E" w:rsidP="00931A5B">
            <w:pPr>
              <w:rPr>
                <w:sz w:val="20"/>
                <w:szCs w:val="20"/>
              </w:rPr>
            </w:pPr>
            <w:r w:rsidRPr="00786C6C">
              <w:rPr>
                <w:sz w:val="20"/>
                <w:szCs w:val="20"/>
              </w:rPr>
              <w:t>Preferred term from IEEE Thesaurus</w:t>
            </w:r>
          </w:p>
        </w:tc>
      </w:tr>
      <w:tr w:rsidR="00B41C5F" w:rsidRPr="00786C6C" w14:paraId="0230376A" w14:textId="77777777" w:rsidTr="00B41C5F">
        <w:tc>
          <w:tcPr>
            <w:tcW w:w="3050" w:type="dxa"/>
          </w:tcPr>
          <w:p w14:paraId="653C3BA9" w14:textId="19510A45" w:rsidR="00931A5B" w:rsidRPr="00786C6C" w:rsidRDefault="006D6D2E" w:rsidP="00931A5B">
            <w:pPr>
              <w:rPr>
                <w:sz w:val="20"/>
                <w:szCs w:val="20"/>
              </w:rPr>
            </w:pPr>
            <w:r w:rsidRPr="00786C6C">
              <w:rPr>
                <w:sz w:val="20"/>
                <w:szCs w:val="20"/>
              </w:rPr>
              <w:t>Caretaker</w:t>
            </w:r>
          </w:p>
        </w:tc>
        <w:tc>
          <w:tcPr>
            <w:tcW w:w="2306" w:type="dxa"/>
          </w:tcPr>
          <w:p w14:paraId="52C9AD77" w14:textId="56B6E082" w:rsidR="00931A5B" w:rsidRPr="00786C6C" w:rsidRDefault="006D6D2E" w:rsidP="00931A5B">
            <w:pPr>
              <w:rPr>
                <w:sz w:val="20"/>
                <w:szCs w:val="20"/>
              </w:rPr>
            </w:pPr>
            <w:r w:rsidRPr="00786C6C">
              <w:rPr>
                <w:sz w:val="20"/>
                <w:szCs w:val="20"/>
              </w:rPr>
              <w:t>caregiver</w:t>
            </w:r>
          </w:p>
        </w:tc>
        <w:tc>
          <w:tcPr>
            <w:tcW w:w="3292" w:type="dxa"/>
          </w:tcPr>
          <w:p w14:paraId="1E109DBA" w14:textId="07B5FF23" w:rsidR="00931A5B" w:rsidRPr="00786C6C" w:rsidRDefault="006D6D2E" w:rsidP="00931A5B">
            <w:pPr>
              <w:rPr>
                <w:sz w:val="20"/>
                <w:szCs w:val="20"/>
              </w:rPr>
            </w:pPr>
            <w:r w:rsidRPr="00786C6C">
              <w:rPr>
                <w:sz w:val="20"/>
                <w:szCs w:val="20"/>
              </w:rPr>
              <w:t>A caregiver is an individual who assists another, including a person with a disability, with his or her daily life, according to Merriam-Webster.</w:t>
            </w:r>
          </w:p>
        </w:tc>
        <w:tc>
          <w:tcPr>
            <w:tcW w:w="2551" w:type="dxa"/>
          </w:tcPr>
          <w:p w14:paraId="7E7FA6D5" w14:textId="051B3B8D" w:rsidR="00931A5B" w:rsidRPr="00786C6C" w:rsidRDefault="006D6D2E" w:rsidP="00931A5B">
            <w:pPr>
              <w:rPr>
                <w:sz w:val="20"/>
                <w:szCs w:val="20"/>
              </w:rPr>
            </w:pPr>
            <w:r w:rsidRPr="00786C6C">
              <w:rPr>
                <w:sz w:val="20"/>
                <w:szCs w:val="20"/>
              </w:rPr>
              <w:t>Caretaker denotes taking care of property; Caregiver denotes giving care to people.</w:t>
            </w:r>
          </w:p>
        </w:tc>
      </w:tr>
      <w:tr w:rsidR="00B41C5F" w:rsidRPr="00786C6C" w14:paraId="5EADC6E7" w14:textId="77777777" w:rsidTr="00B41C5F">
        <w:tc>
          <w:tcPr>
            <w:tcW w:w="3050" w:type="dxa"/>
          </w:tcPr>
          <w:p w14:paraId="0ECA7EB4" w14:textId="57948E9A" w:rsidR="00931A5B" w:rsidRPr="00786C6C" w:rsidRDefault="006D6D2E" w:rsidP="00931A5B">
            <w:pPr>
              <w:rPr>
                <w:sz w:val="20"/>
                <w:szCs w:val="20"/>
              </w:rPr>
            </w:pPr>
            <w:r w:rsidRPr="00786C6C">
              <w:rPr>
                <w:sz w:val="20"/>
                <w:szCs w:val="20"/>
              </w:rPr>
              <w:t>Caucasian</w:t>
            </w:r>
          </w:p>
        </w:tc>
        <w:tc>
          <w:tcPr>
            <w:tcW w:w="2306" w:type="dxa"/>
          </w:tcPr>
          <w:p w14:paraId="096B84C8" w14:textId="0D6B8FE8" w:rsidR="00931A5B" w:rsidRPr="00786C6C" w:rsidRDefault="006D6D2E" w:rsidP="00931A5B">
            <w:pPr>
              <w:rPr>
                <w:sz w:val="20"/>
                <w:szCs w:val="20"/>
              </w:rPr>
            </w:pPr>
            <w:r w:rsidRPr="00786C6C">
              <w:rPr>
                <w:sz w:val="20"/>
                <w:szCs w:val="20"/>
              </w:rPr>
              <w:t>European American*; White</w:t>
            </w:r>
          </w:p>
        </w:tc>
        <w:tc>
          <w:tcPr>
            <w:tcW w:w="3292" w:type="dxa"/>
          </w:tcPr>
          <w:p w14:paraId="7CD19869" w14:textId="47A9C6DF" w:rsidR="00931A5B" w:rsidRPr="00786C6C" w:rsidRDefault="006D6D2E" w:rsidP="00931A5B">
            <w:pPr>
              <w:rPr>
                <w:sz w:val="20"/>
                <w:szCs w:val="20"/>
              </w:rPr>
            </w:pPr>
            <w:r w:rsidRPr="00786C6C">
              <w:rPr>
                <w:sz w:val="20"/>
                <w:szCs w:val="20"/>
              </w:rPr>
              <w:t>The use of the term “Caucasian” as an alternative to “White” or “European” is discouraged because it originated as a way of classifying White people as a race to be favorably compared with other races. As with all discussions of race and ethnicity, it is preferable to be more specific about regional (e.g., Southern European, Scandinavian) or national (e.g., Italian, Irish, Swedish, French, Polish) origin when possible.</w:t>
            </w:r>
          </w:p>
        </w:tc>
        <w:tc>
          <w:tcPr>
            <w:tcW w:w="2551" w:type="dxa"/>
          </w:tcPr>
          <w:p w14:paraId="0FD0F759" w14:textId="10D8143E" w:rsidR="00931A5B" w:rsidRPr="00786C6C" w:rsidRDefault="006D6D2E" w:rsidP="00931A5B">
            <w:pPr>
              <w:rPr>
                <w:sz w:val="20"/>
                <w:szCs w:val="20"/>
              </w:rPr>
            </w:pPr>
            <w:r w:rsidRPr="00786C6C">
              <w:rPr>
                <w:sz w:val="20"/>
                <w:szCs w:val="20"/>
              </w:rPr>
              <w:t>* Adjust as needed for location (i.e., European, European American, European Australian, etc.)</w:t>
            </w:r>
          </w:p>
        </w:tc>
      </w:tr>
      <w:tr w:rsidR="00B41C5F" w:rsidRPr="00786C6C" w14:paraId="5FA47E05" w14:textId="77777777" w:rsidTr="00B41C5F">
        <w:trPr>
          <w:trHeight w:val="822"/>
        </w:trPr>
        <w:tc>
          <w:tcPr>
            <w:tcW w:w="3050" w:type="dxa"/>
          </w:tcPr>
          <w:p w14:paraId="4BB48740" w14:textId="4BDCC509" w:rsidR="00931A5B" w:rsidRPr="00786C6C" w:rsidRDefault="006D6D2E" w:rsidP="00931A5B">
            <w:pPr>
              <w:rPr>
                <w:sz w:val="20"/>
                <w:szCs w:val="20"/>
              </w:rPr>
            </w:pPr>
            <w:r w:rsidRPr="00786C6C">
              <w:rPr>
                <w:sz w:val="20"/>
                <w:szCs w:val="20"/>
              </w:rPr>
              <w:t>Chairman</w:t>
            </w:r>
          </w:p>
        </w:tc>
        <w:tc>
          <w:tcPr>
            <w:tcW w:w="2306" w:type="dxa"/>
          </w:tcPr>
          <w:p w14:paraId="67B57B56" w14:textId="61BA2EA7" w:rsidR="00931A5B" w:rsidRPr="00786C6C" w:rsidRDefault="006D6D2E" w:rsidP="00931A5B">
            <w:pPr>
              <w:rPr>
                <w:sz w:val="20"/>
                <w:szCs w:val="20"/>
              </w:rPr>
            </w:pPr>
            <w:r w:rsidRPr="00786C6C">
              <w:rPr>
                <w:sz w:val="20"/>
                <w:szCs w:val="20"/>
              </w:rPr>
              <w:t>chairperson</w:t>
            </w:r>
          </w:p>
        </w:tc>
        <w:tc>
          <w:tcPr>
            <w:tcW w:w="3292" w:type="dxa"/>
          </w:tcPr>
          <w:p w14:paraId="38499152" w14:textId="77777777" w:rsidR="00931A5B" w:rsidRPr="00786C6C" w:rsidRDefault="00931A5B" w:rsidP="00931A5B">
            <w:pPr>
              <w:rPr>
                <w:sz w:val="20"/>
                <w:szCs w:val="20"/>
              </w:rPr>
            </w:pPr>
          </w:p>
        </w:tc>
        <w:tc>
          <w:tcPr>
            <w:tcW w:w="2551" w:type="dxa"/>
          </w:tcPr>
          <w:p w14:paraId="7958D306" w14:textId="77777777" w:rsidR="00931A5B" w:rsidRPr="00786C6C" w:rsidRDefault="00931A5B" w:rsidP="00931A5B">
            <w:pPr>
              <w:rPr>
                <w:sz w:val="20"/>
                <w:szCs w:val="20"/>
              </w:rPr>
            </w:pPr>
          </w:p>
        </w:tc>
      </w:tr>
      <w:tr w:rsidR="00B41C5F" w:rsidRPr="00786C6C" w14:paraId="4E8102A7" w14:textId="77777777" w:rsidTr="00B41C5F">
        <w:trPr>
          <w:trHeight w:val="834"/>
        </w:trPr>
        <w:tc>
          <w:tcPr>
            <w:tcW w:w="3050" w:type="dxa"/>
          </w:tcPr>
          <w:p w14:paraId="448374EF" w14:textId="6EC3E18A" w:rsidR="00931A5B" w:rsidRPr="00786C6C" w:rsidRDefault="006D6D2E" w:rsidP="00931A5B">
            <w:pPr>
              <w:rPr>
                <w:sz w:val="20"/>
                <w:szCs w:val="20"/>
              </w:rPr>
            </w:pPr>
            <w:r w:rsidRPr="00786C6C">
              <w:rPr>
                <w:sz w:val="20"/>
                <w:szCs w:val="20"/>
              </w:rPr>
              <w:t>Committed suicide</w:t>
            </w:r>
          </w:p>
        </w:tc>
        <w:tc>
          <w:tcPr>
            <w:tcW w:w="2306" w:type="dxa"/>
          </w:tcPr>
          <w:p w14:paraId="0229DCFB" w14:textId="44046419" w:rsidR="00931A5B" w:rsidRPr="00786C6C" w:rsidRDefault="006D6D2E" w:rsidP="00931A5B">
            <w:pPr>
              <w:rPr>
                <w:sz w:val="20"/>
                <w:szCs w:val="20"/>
              </w:rPr>
            </w:pPr>
            <w:r w:rsidRPr="00786C6C">
              <w:rPr>
                <w:sz w:val="20"/>
                <w:szCs w:val="20"/>
              </w:rPr>
              <w:t>died by suicide</w:t>
            </w:r>
          </w:p>
        </w:tc>
        <w:tc>
          <w:tcPr>
            <w:tcW w:w="3292" w:type="dxa"/>
          </w:tcPr>
          <w:p w14:paraId="1B0F28BB" w14:textId="77777777" w:rsidR="00931A5B" w:rsidRPr="00786C6C" w:rsidRDefault="00931A5B" w:rsidP="00931A5B">
            <w:pPr>
              <w:rPr>
                <w:sz w:val="20"/>
                <w:szCs w:val="20"/>
              </w:rPr>
            </w:pPr>
          </w:p>
        </w:tc>
        <w:tc>
          <w:tcPr>
            <w:tcW w:w="2551" w:type="dxa"/>
          </w:tcPr>
          <w:p w14:paraId="2F9A5379" w14:textId="77777777" w:rsidR="00931A5B" w:rsidRPr="00786C6C" w:rsidRDefault="00931A5B" w:rsidP="00931A5B">
            <w:pPr>
              <w:rPr>
                <w:sz w:val="20"/>
                <w:szCs w:val="20"/>
              </w:rPr>
            </w:pPr>
          </w:p>
        </w:tc>
      </w:tr>
      <w:tr w:rsidR="00B41C5F" w:rsidRPr="00786C6C" w14:paraId="7FC3BCF1" w14:textId="77777777" w:rsidTr="00B41C5F">
        <w:tc>
          <w:tcPr>
            <w:tcW w:w="3050" w:type="dxa"/>
          </w:tcPr>
          <w:p w14:paraId="464F9543" w14:textId="04266E9B" w:rsidR="00931A5B" w:rsidRPr="00786C6C" w:rsidRDefault="006D6D2E" w:rsidP="00931A5B">
            <w:pPr>
              <w:rPr>
                <w:sz w:val="20"/>
                <w:szCs w:val="20"/>
              </w:rPr>
            </w:pPr>
            <w:r w:rsidRPr="00786C6C">
              <w:rPr>
                <w:sz w:val="20"/>
                <w:szCs w:val="20"/>
              </w:rPr>
              <w:t>Crazy/loony/mad/ psycho/nuts/deranged/ insane/insanity/ mentally deranged/ psychopathology</w:t>
            </w:r>
          </w:p>
        </w:tc>
        <w:tc>
          <w:tcPr>
            <w:tcW w:w="2306" w:type="dxa"/>
          </w:tcPr>
          <w:p w14:paraId="761E07F3" w14:textId="07C1471C" w:rsidR="00931A5B" w:rsidRPr="00786C6C" w:rsidRDefault="006D6D2E" w:rsidP="00931A5B">
            <w:pPr>
              <w:rPr>
                <w:sz w:val="20"/>
                <w:szCs w:val="20"/>
              </w:rPr>
            </w:pPr>
            <w:r w:rsidRPr="00786C6C">
              <w:rPr>
                <w:sz w:val="20"/>
                <w:szCs w:val="20"/>
              </w:rPr>
              <w:t>mental illness*; mental disorder*; psychopathology(ical)</w:t>
            </w:r>
          </w:p>
        </w:tc>
        <w:tc>
          <w:tcPr>
            <w:tcW w:w="3292" w:type="dxa"/>
          </w:tcPr>
          <w:p w14:paraId="7923E298" w14:textId="150EEA10" w:rsidR="00931A5B" w:rsidRPr="00786C6C" w:rsidRDefault="006D6D2E" w:rsidP="00931A5B">
            <w:pPr>
              <w:rPr>
                <w:sz w:val="20"/>
                <w:szCs w:val="20"/>
              </w:rPr>
            </w:pPr>
            <w:r w:rsidRPr="00786C6C">
              <w:rPr>
                <w:sz w:val="20"/>
                <w:szCs w:val="20"/>
              </w:rPr>
              <w:t>Once commonly used to describe people with mental illness; commonly used informally to denote mental instability or mental illness.</w:t>
            </w:r>
          </w:p>
        </w:tc>
        <w:tc>
          <w:tcPr>
            <w:tcW w:w="2551" w:type="dxa"/>
          </w:tcPr>
          <w:p w14:paraId="70B8E205" w14:textId="28FDF0AF" w:rsidR="00931A5B" w:rsidRPr="00786C6C" w:rsidRDefault="006D6D2E" w:rsidP="00931A5B">
            <w:pPr>
              <w:rPr>
                <w:sz w:val="20"/>
                <w:szCs w:val="20"/>
              </w:rPr>
            </w:pPr>
            <w:r w:rsidRPr="00786C6C">
              <w:rPr>
                <w:sz w:val="20"/>
                <w:szCs w:val="20"/>
              </w:rPr>
              <w:t>* Except in a quote or when referring to a criminal defense.</w:t>
            </w:r>
          </w:p>
        </w:tc>
      </w:tr>
      <w:tr w:rsidR="00B41C5F" w:rsidRPr="00786C6C" w14:paraId="3D1E3782" w14:textId="77777777" w:rsidTr="00B41C5F">
        <w:tc>
          <w:tcPr>
            <w:tcW w:w="3050" w:type="dxa"/>
          </w:tcPr>
          <w:p w14:paraId="133475BF" w14:textId="3F64A893" w:rsidR="00931A5B" w:rsidRPr="00786C6C" w:rsidRDefault="006D6D2E" w:rsidP="00931A5B">
            <w:pPr>
              <w:rPr>
                <w:sz w:val="20"/>
                <w:szCs w:val="20"/>
              </w:rPr>
            </w:pPr>
            <w:r w:rsidRPr="00786C6C">
              <w:rPr>
                <w:sz w:val="20"/>
                <w:szCs w:val="20"/>
              </w:rPr>
              <w:t>Cripple</w:t>
            </w:r>
          </w:p>
        </w:tc>
        <w:tc>
          <w:tcPr>
            <w:tcW w:w="2306" w:type="dxa"/>
          </w:tcPr>
          <w:p w14:paraId="5E95CE2B" w14:textId="478FA4AC" w:rsidR="00931A5B" w:rsidRPr="00786C6C" w:rsidRDefault="006D6D2E" w:rsidP="00931A5B">
            <w:pPr>
              <w:rPr>
                <w:sz w:val="20"/>
                <w:szCs w:val="20"/>
              </w:rPr>
            </w:pPr>
            <w:r w:rsidRPr="00786C6C">
              <w:rPr>
                <w:sz w:val="20"/>
                <w:szCs w:val="20"/>
              </w:rPr>
              <w:t>Avoid in all instances*; use people first language and their diagnosis, i.e., “person with X</w:t>
            </w:r>
            <w:r w:rsidR="00B41C5F" w:rsidRPr="00786C6C">
              <w:rPr>
                <w:sz w:val="20"/>
                <w:szCs w:val="20"/>
              </w:rPr>
              <w:t>.</w:t>
            </w:r>
            <w:r w:rsidRPr="00786C6C">
              <w:rPr>
                <w:sz w:val="20"/>
                <w:szCs w:val="20"/>
              </w:rPr>
              <w:t>”</w:t>
            </w:r>
          </w:p>
        </w:tc>
        <w:tc>
          <w:tcPr>
            <w:tcW w:w="3292" w:type="dxa"/>
          </w:tcPr>
          <w:p w14:paraId="341320C9" w14:textId="1C36F055" w:rsidR="00931A5B" w:rsidRPr="00786C6C" w:rsidRDefault="006D6D2E" w:rsidP="00931A5B">
            <w:pPr>
              <w:rPr>
                <w:sz w:val="20"/>
                <w:szCs w:val="20"/>
              </w:rPr>
            </w:pPr>
            <w:r w:rsidRPr="00786C6C">
              <w:rPr>
                <w:sz w:val="20"/>
                <w:szCs w:val="20"/>
              </w:rPr>
              <w:t>Merriam-Webster defines the noun “cripple” as “a lame or partly disabled person or animal” and as “something flawed or imperfect.” It is also used as a verb. The word dates</w:t>
            </w:r>
            <w:r w:rsidR="00B41C5F" w:rsidRPr="00786C6C">
              <w:rPr>
                <w:sz w:val="20"/>
                <w:szCs w:val="20"/>
              </w:rPr>
              <w:t xml:space="preserve"> </w:t>
            </w:r>
            <w:r w:rsidRPr="00786C6C">
              <w:rPr>
                <w:sz w:val="20"/>
                <w:szCs w:val="20"/>
              </w:rPr>
              <w:t>to Old English, where it was related to words that meant to creep or bend over.</w:t>
            </w:r>
          </w:p>
        </w:tc>
        <w:tc>
          <w:tcPr>
            <w:tcW w:w="2551" w:type="dxa"/>
          </w:tcPr>
          <w:p w14:paraId="5CDD9EB4" w14:textId="77777777" w:rsidR="00931A5B" w:rsidRPr="00786C6C" w:rsidRDefault="00931A5B" w:rsidP="00931A5B">
            <w:pPr>
              <w:rPr>
                <w:sz w:val="20"/>
                <w:szCs w:val="20"/>
              </w:rPr>
            </w:pPr>
          </w:p>
        </w:tc>
      </w:tr>
      <w:tr w:rsidR="00B41C5F" w:rsidRPr="00786C6C" w14:paraId="43E4EF8D" w14:textId="77777777" w:rsidTr="00B41C5F">
        <w:tc>
          <w:tcPr>
            <w:tcW w:w="3050" w:type="dxa"/>
          </w:tcPr>
          <w:p w14:paraId="044841C8" w14:textId="31C33B6C" w:rsidR="00931A5B" w:rsidRPr="00786C6C" w:rsidRDefault="006D6D2E" w:rsidP="00931A5B">
            <w:pPr>
              <w:rPr>
                <w:sz w:val="20"/>
                <w:szCs w:val="20"/>
              </w:rPr>
            </w:pPr>
            <w:r w:rsidRPr="00786C6C">
              <w:rPr>
                <w:sz w:val="20"/>
                <w:szCs w:val="20"/>
              </w:rPr>
              <w:t>Deaf</w:t>
            </w:r>
          </w:p>
        </w:tc>
        <w:tc>
          <w:tcPr>
            <w:tcW w:w="2306" w:type="dxa"/>
          </w:tcPr>
          <w:p w14:paraId="63104B74" w14:textId="3B28128E" w:rsidR="00931A5B" w:rsidRPr="00786C6C" w:rsidRDefault="006D6D2E" w:rsidP="00931A5B">
            <w:pPr>
              <w:rPr>
                <w:sz w:val="20"/>
                <w:szCs w:val="20"/>
              </w:rPr>
            </w:pPr>
            <w:r w:rsidRPr="00786C6C">
              <w:rPr>
                <w:sz w:val="20"/>
                <w:szCs w:val="20"/>
              </w:rPr>
              <w:t>D(d)eaf*; hard of hearing</w:t>
            </w:r>
          </w:p>
        </w:tc>
        <w:tc>
          <w:tcPr>
            <w:tcW w:w="3292" w:type="dxa"/>
          </w:tcPr>
          <w:p w14:paraId="032B8B05" w14:textId="48392432" w:rsidR="00931A5B" w:rsidRPr="00786C6C" w:rsidRDefault="006D6D2E" w:rsidP="00931A5B">
            <w:pPr>
              <w:rPr>
                <w:sz w:val="20"/>
                <w:szCs w:val="20"/>
              </w:rPr>
            </w:pPr>
            <w:r w:rsidRPr="00786C6C">
              <w:rPr>
                <w:sz w:val="20"/>
                <w:szCs w:val="20"/>
              </w:rPr>
              <w:t>Having total or partial hearing loss.</w:t>
            </w:r>
          </w:p>
        </w:tc>
        <w:tc>
          <w:tcPr>
            <w:tcW w:w="2551" w:type="dxa"/>
          </w:tcPr>
          <w:p w14:paraId="3880E52E" w14:textId="7E416288" w:rsidR="00931A5B" w:rsidRPr="00786C6C" w:rsidRDefault="006D6D2E" w:rsidP="00931A5B">
            <w:pPr>
              <w:rPr>
                <w:sz w:val="20"/>
                <w:szCs w:val="20"/>
              </w:rPr>
            </w:pPr>
            <w:r w:rsidRPr="00786C6C">
              <w:rPr>
                <w:sz w:val="20"/>
                <w:szCs w:val="20"/>
              </w:rPr>
              <w:t xml:space="preserve">* NCDJ Recommendation: Lowercase when referring to a hearing-loss condition or to a deaf person who prefers lowercase. Capitalize for those who identify as members of the Deaf community or when </w:t>
            </w:r>
            <w:r w:rsidRPr="00786C6C">
              <w:rPr>
                <w:sz w:val="20"/>
                <w:szCs w:val="20"/>
              </w:rPr>
              <w:lastRenderedPageBreak/>
              <w:t>they capitalize Deaf when describing themselves. “D(d)eaf” should be used as an adjective, not as a noun; it describes a person with profound or complete hearing loss. Other acceptable phrases include “woman who is deaf” or “boy who is hard of hearing.” When quoting or paraphrasing a person who has signed their responses, it’s appropriate on first reference to indicate that the responses were signed. It’s acceptable to use the word “said” in subsequent references. Per the National Association of the Deaf, "D(d)eaf" is acceptable.</w:t>
            </w:r>
          </w:p>
        </w:tc>
      </w:tr>
      <w:tr w:rsidR="00B41C5F" w:rsidRPr="00786C6C" w14:paraId="69F18CD2" w14:textId="77777777" w:rsidTr="00B41C5F">
        <w:tc>
          <w:tcPr>
            <w:tcW w:w="3050" w:type="dxa"/>
          </w:tcPr>
          <w:p w14:paraId="40C6DCE6" w14:textId="2B8F658C" w:rsidR="00931A5B" w:rsidRPr="00786C6C" w:rsidRDefault="006D6D2E" w:rsidP="00931A5B">
            <w:pPr>
              <w:rPr>
                <w:sz w:val="20"/>
                <w:szCs w:val="20"/>
              </w:rPr>
            </w:pPr>
            <w:r w:rsidRPr="00786C6C">
              <w:rPr>
                <w:sz w:val="20"/>
                <w:szCs w:val="20"/>
              </w:rPr>
              <w:lastRenderedPageBreak/>
              <w:t>Deformed/deformity (when referencing a person)</w:t>
            </w:r>
          </w:p>
        </w:tc>
        <w:tc>
          <w:tcPr>
            <w:tcW w:w="2306" w:type="dxa"/>
          </w:tcPr>
          <w:p w14:paraId="281533E1" w14:textId="34F3F782" w:rsidR="00931A5B" w:rsidRPr="00786C6C" w:rsidRDefault="006D6D2E" w:rsidP="00931A5B">
            <w:pPr>
              <w:rPr>
                <w:sz w:val="20"/>
                <w:szCs w:val="20"/>
              </w:rPr>
            </w:pPr>
            <w:r w:rsidRPr="00786C6C">
              <w:rPr>
                <w:sz w:val="20"/>
                <w:szCs w:val="20"/>
              </w:rPr>
              <w:t>Avoid in all instances*; refer to specific description rather than generalized term of deformity</w:t>
            </w:r>
          </w:p>
        </w:tc>
        <w:tc>
          <w:tcPr>
            <w:tcW w:w="3292" w:type="dxa"/>
          </w:tcPr>
          <w:p w14:paraId="50740DC9" w14:textId="69B08BE6" w:rsidR="00931A5B" w:rsidRPr="00786C6C" w:rsidRDefault="006D6D2E" w:rsidP="00931A5B">
            <w:pPr>
              <w:rPr>
                <w:sz w:val="20"/>
                <w:szCs w:val="20"/>
              </w:rPr>
            </w:pPr>
            <w:r w:rsidRPr="00786C6C">
              <w:rPr>
                <w:sz w:val="20"/>
                <w:szCs w:val="20"/>
              </w:rPr>
              <w:t>Merriam-Webster defines as a part of the body that does not have the typical or expected shape</w:t>
            </w:r>
            <w:r w:rsidR="00F51BF0" w:rsidRPr="00786C6C">
              <w:rPr>
                <w:sz w:val="20"/>
                <w:szCs w:val="20"/>
              </w:rPr>
              <w:t>.</w:t>
            </w:r>
          </w:p>
        </w:tc>
        <w:tc>
          <w:tcPr>
            <w:tcW w:w="2551" w:type="dxa"/>
          </w:tcPr>
          <w:p w14:paraId="0F41CA10" w14:textId="77777777" w:rsidR="00931A5B" w:rsidRPr="00786C6C" w:rsidRDefault="00931A5B" w:rsidP="00931A5B">
            <w:pPr>
              <w:rPr>
                <w:sz w:val="20"/>
                <w:szCs w:val="20"/>
              </w:rPr>
            </w:pPr>
          </w:p>
        </w:tc>
      </w:tr>
      <w:tr w:rsidR="00B41C5F" w:rsidRPr="00786C6C" w14:paraId="7A810282" w14:textId="77777777" w:rsidTr="00B41C5F">
        <w:tc>
          <w:tcPr>
            <w:tcW w:w="3050" w:type="dxa"/>
          </w:tcPr>
          <w:p w14:paraId="72B4394A" w14:textId="7AD3AD4C" w:rsidR="00931A5B" w:rsidRPr="00786C6C" w:rsidRDefault="006D6D2E" w:rsidP="00931A5B">
            <w:pPr>
              <w:rPr>
                <w:sz w:val="20"/>
                <w:szCs w:val="20"/>
              </w:rPr>
            </w:pPr>
            <w:r w:rsidRPr="00786C6C">
              <w:rPr>
                <w:sz w:val="20"/>
                <w:szCs w:val="20"/>
              </w:rPr>
              <w:t>Dumb (mute)</w:t>
            </w:r>
          </w:p>
        </w:tc>
        <w:tc>
          <w:tcPr>
            <w:tcW w:w="2306" w:type="dxa"/>
          </w:tcPr>
          <w:p w14:paraId="0706C665" w14:textId="0E6B00DC" w:rsidR="00931A5B" w:rsidRPr="00786C6C" w:rsidRDefault="006D6D2E" w:rsidP="00931A5B">
            <w:pPr>
              <w:rPr>
                <w:sz w:val="20"/>
                <w:szCs w:val="20"/>
              </w:rPr>
            </w:pPr>
            <w:r w:rsidRPr="00786C6C">
              <w:rPr>
                <w:sz w:val="20"/>
                <w:szCs w:val="20"/>
              </w:rPr>
              <w:t>nonverbal</w:t>
            </w:r>
          </w:p>
        </w:tc>
        <w:tc>
          <w:tcPr>
            <w:tcW w:w="3292" w:type="dxa"/>
          </w:tcPr>
          <w:p w14:paraId="29F5C392" w14:textId="29BD42BD" w:rsidR="00931A5B" w:rsidRPr="00786C6C" w:rsidRDefault="006D6D2E" w:rsidP="00931A5B">
            <w:pPr>
              <w:rPr>
                <w:sz w:val="20"/>
                <w:szCs w:val="20"/>
              </w:rPr>
            </w:pPr>
            <w:r w:rsidRPr="00786C6C">
              <w:rPr>
                <w:sz w:val="20"/>
                <w:szCs w:val="20"/>
              </w:rPr>
              <w:t>Once widely used to describe a person who could not speak and implied the inability to express oneself; however, someone who does not use speech still may have the ability of expression.</w:t>
            </w:r>
          </w:p>
        </w:tc>
        <w:tc>
          <w:tcPr>
            <w:tcW w:w="2551" w:type="dxa"/>
          </w:tcPr>
          <w:p w14:paraId="545C7854" w14:textId="77777777" w:rsidR="00931A5B" w:rsidRPr="00786C6C" w:rsidRDefault="00931A5B" w:rsidP="00931A5B">
            <w:pPr>
              <w:rPr>
                <w:sz w:val="20"/>
                <w:szCs w:val="20"/>
              </w:rPr>
            </w:pPr>
          </w:p>
        </w:tc>
      </w:tr>
      <w:tr w:rsidR="00B41C5F" w:rsidRPr="00786C6C" w14:paraId="42A5228C" w14:textId="77777777" w:rsidTr="00B41C5F">
        <w:tc>
          <w:tcPr>
            <w:tcW w:w="3050" w:type="dxa"/>
          </w:tcPr>
          <w:p w14:paraId="424A26D1" w14:textId="285FC2C1" w:rsidR="00931A5B" w:rsidRPr="00786C6C" w:rsidRDefault="006D6D2E" w:rsidP="00931A5B">
            <w:pPr>
              <w:rPr>
                <w:sz w:val="20"/>
                <w:szCs w:val="20"/>
              </w:rPr>
            </w:pPr>
            <w:r w:rsidRPr="00786C6C">
              <w:rPr>
                <w:sz w:val="20"/>
                <w:szCs w:val="20"/>
              </w:rPr>
              <w:t>Dwarf/vertically challenged/midget</w:t>
            </w:r>
          </w:p>
        </w:tc>
        <w:tc>
          <w:tcPr>
            <w:tcW w:w="2306" w:type="dxa"/>
          </w:tcPr>
          <w:p w14:paraId="31C007DA" w14:textId="07A83BCD" w:rsidR="00931A5B" w:rsidRPr="00786C6C" w:rsidRDefault="006D6D2E" w:rsidP="00931A5B">
            <w:pPr>
              <w:rPr>
                <w:sz w:val="20"/>
                <w:szCs w:val="20"/>
              </w:rPr>
            </w:pPr>
            <w:r w:rsidRPr="00786C6C">
              <w:rPr>
                <w:sz w:val="20"/>
                <w:szCs w:val="20"/>
              </w:rPr>
              <w:t>Dwarf*; short stature; little person</w:t>
            </w:r>
          </w:p>
        </w:tc>
        <w:tc>
          <w:tcPr>
            <w:tcW w:w="3292" w:type="dxa"/>
          </w:tcPr>
          <w:p w14:paraId="2EFA0D90" w14:textId="311D2048" w:rsidR="00931A5B" w:rsidRPr="00786C6C" w:rsidRDefault="006D6D2E" w:rsidP="00931A5B">
            <w:pPr>
              <w:rPr>
                <w:sz w:val="20"/>
                <w:szCs w:val="20"/>
              </w:rPr>
            </w:pPr>
            <w:r w:rsidRPr="00786C6C">
              <w:rPr>
                <w:sz w:val="20"/>
                <w:szCs w:val="20"/>
              </w:rPr>
              <w:t>Dwarfism is a medical or genetic condition that results in a stature below 4’10,” according to Little People of America. The terms “little people” and “little person” refer to people of short stature and have come into common use since the founding of the Little People of America organization in 1957.</w:t>
            </w:r>
          </w:p>
        </w:tc>
        <w:tc>
          <w:tcPr>
            <w:tcW w:w="2551" w:type="dxa"/>
          </w:tcPr>
          <w:p w14:paraId="49E71F35" w14:textId="5C7EC4AE" w:rsidR="00931A5B" w:rsidRPr="00786C6C" w:rsidRDefault="006D6D2E" w:rsidP="00931A5B">
            <w:pPr>
              <w:rPr>
                <w:sz w:val="20"/>
                <w:szCs w:val="20"/>
              </w:rPr>
            </w:pPr>
            <w:r w:rsidRPr="00786C6C">
              <w:rPr>
                <w:sz w:val="20"/>
                <w:szCs w:val="20"/>
              </w:rPr>
              <w:t>* Use only when applied to a medical diagnosis or in a quote.</w:t>
            </w:r>
          </w:p>
        </w:tc>
      </w:tr>
      <w:tr w:rsidR="00B41C5F" w:rsidRPr="00786C6C" w14:paraId="27E0FAAF" w14:textId="77777777" w:rsidTr="00B41C5F">
        <w:tc>
          <w:tcPr>
            <w:tcW w:w="3050" w:type="dxa"/>
          </w:tcPr>
          <w:p w14:paraId="298081A0" w14:textId="4EBF9E69" w:rsidR="006D6D2E" w:rsidRPr="00786C6C" w:rsidRDefault="006D6D2E" w:rsidP="006D6D2E">
            <w:pPr>
              <w:rPr>
                <w:sz w:val="20"/>
                <w:szCs w:val="20"/>
              </w:rPr>
            </w:pPr>
            <w:r w:rsidRPr="00786C6C">
              <w:rPr>
                <w:sz w:val="20"/>
                <w:szCs w:val="20"/>
              </w:rPr>
              <w:t>Gay marriage/</w:t>
            </w:r>
            <w:r w:rsidR="00F51BF0" w:rsidRPr="00786C6C">
              <w:rPr>
                <w:sz w:val="20"/>
                <w:szCs w:val="20"/>
              </w:rPr>
              <w:t>same sex</w:t>
            </w:r>
          </w:p>
          <w:p w14:paraId="542B3D15" w14:textId="41F9B2D6" w:rsidR="00931A5B" w:rsidRPr="00786C6C" w:rsidRDefault="006D6D2E" w:rsidP="006D6D2E">
            <w:pPr>
              <w:rPr>
                <w:sz w:val="20"/>
                <w:szCs w:val="20"/>
              </w:rPr>
            </w:pPr>
            <w:r w:rsidRPr="00786C6C">
              <w:rPr>
                <w:sz w:val="20"/>
                <w:szCs w:val="20"/>
              </w:rPr>
              <w:t>marriage</w:t>
            </w:r>
          </w:p>
        </w:tc>
        <w:tc>
          <w:tcPr>
            <w:tcW w:w="2306" w:type="dxa"/>
          </w:tcPr>
          <w:p w14:paraId="19D341DF" w14:textId="70CB2663" w:rsidR="00931A5B" w:rsidRPr="00786C6C" w:rsidRDefault="006D6D2E" w:rsidP="00931A5B">
            <w:pPr>
              <w:rPr>
                <w:sz w:val="20"/>
                <w:szCs w:val="20"/>
              </w:rPr>
            </w:pPr>
            <w:r w:rsidRPr="00786C6C">
              <w:rPr>
                <w:sz w:val="20"/>
                <w:szCs w:val="20"/>
              </w:rPr>
              <w:t>Marriage*</w:t>
            </w:r>
          </w:p>
        </w:tc>
        <w:tc>
          <w:tcPr>
            <w:tcW w:w="3292" w:type="dxa"/>
          </w:tcPr>
          <w:p w14:paraId="5892C96C" w14:textId="77777777" w:rsidR="00931A5B" w:rsidRPr="00786C6C" w:rsidRDefault="00931A5B" w:rsidP="00931A5B">
            <w:pPr>
              <w:rPr>
                <w:sz w:val="20"/>
                <w:szCs w:val="20"/>
              </w:rPr>
            </w:pPr>
          </w:p>
        </w:tc>
        <w:tc>
          <w:tcPr>
            <w:tcW w:w="2551" w:type="dxa"/>
          </w:tcPr>
          <w:p w14:paraId="12462408" w14:textId="284E5D81" w:rsidR="00931A5B" w:rsidRPr="00786C6C" w:rsidRDefault="006D6D2E" w:rsidP="00931A5B">
            <w:pPr>
              <w:rPr>
                <w:sz w:val="20"/>
                <w:szCs w:val="20"/>
              </w:rPr>
            </w:pPr>
            <w:r w:rsidRPr="00786C6C">
              <w:rPr>
                <w:sz w:val="20"/>
                <w:szCs w:val="20"/>
              </w:rPr>
              <w:t>* When writing about the inability to legally marry, use “exclusion from Marriage” or “denial of marriage.”</w:t>
            </w:r>
          </w:p>
        </w:tc>
      </w:tr>
      <w:tr w:rsidR="00B41C5F" w:rsidRPr="00786C6C" w14:paraId="20FF2F40" w14:textId="77777777" w:rsidTr="00B41C5F">
        <w:tc>
          <w:tcPr>
            <w:tcW w:w="3050" w:type="dxa"/>
          </w:tcPr>
          <w:p w14:paraId="7CFDD2C1" w14:textId="1CCE7BB4" w:rsidR="00931A5B" w:rsidRPr="00786C6C" w:rsidRDefault="006D6D2E" w:rsidP="00931A5B">
            <w:pPr>
              <w:rPr>
                <w:sz w:val="20"/>
                <w:szCs w:val="20"/>
              </w:rPr>
            </w:pPr>
            <w:r w:rsidRPr="00786C6C">
              <w:rPr>
                <w:sz w:val="20"/>
                <w:szCs w:val="20"/>
              </w:rPr>
              <w:lastRenderedPageBreak/>
              <w:t>Handicap</w:t>
            </w:r>
          </w:p>
        </w:tc>
        <w:tc>
          <w:tcPr>
            <w:tcW w:w="2306" w:type="dxa"/>
          </w:tcPr>
          <w:p w14:paraId="308B2562" w14:textId="24DFDE03" w:rsidR="00931A5B" w:rsidRPr="00786C6C" w:rsidRDefault="006D6D2E" w:rsidP="00931A5B">
            <w:pPr>
              <w:rPr>
                <w:sz w:val="20"/>
                <w:szCs w:val="20"/>
              </w:rPr>
            </w:pPr>
            <w:r w:rsidRPr="00786C6C">
              <w:rPr>
                <w:sz w:val="20"/>
                <w:szCs w:val="20"/>
              </w:rPr>
              <w:t>Use people first language; refer to the person's condition</w:t>
            </w:r>
          </w:p>
        </w:tc>
        <w:tc>
          <w:tcPr>
            <w:tcW w:w="3292" w:type="dxa"/>
          </w:tcPr>
          <w:p w14:paraId="6525F066" w14:textId="6A93D738" w:rsidR="00931A5B" w:rsidRPr="00786C6C" w:rsidRDefault="006D6D2E" w:rsidP="00931A5B">
            <w:pPr>
              <w:rPr>
                <w:sz w:val="20"/>
                <w:szCs w:val="20"/>
              </w:rPr>
            </w:pPr>
            <w:r w:rsidRPr="00786C6C">
              <w:rPr>
                <w:sz w:val="20"/>
                <w:szCs w:val="20"/>
              </w:rPr>
              <w:t>The Oxford English dictionary defines a handicap as “a condition that restricts a person’s ability to function physically, mentally or socially.”</w:t>
            </w:r>
          </w:p>
        </w:tc>
        <w:tc>
          <w:tcPr>
            <w:tcW w:w="2551" w:type="dxa"/>
          </w:tcPr>
          <w:p w14:paraId="7B84640D" w14:textId="77777777" w:rsidR="00931A5B" w:rsidRPr="00786C6C" w:rsidRDefault="00931A5B" w:rsidP="00931A5B">
            <w:pPr>
              <w:rPr>
                <w:sz w:val="20"/>
                <w:szCs w:val="20"/>
              </w:rPr>
            </w:pPr>
          </w:p>
        </w:tc>
      </w:tr>
      <w:tr w:rsidR="00B41C5F" w:rsidRPr="00786C6C" w14:paraId="48CFBF21" w14:textId="77777777" w:rsidTr="00B41C5F">
        <w:tc>
          <w:tcPr>
            <w:tcW w:w="3050" w:type="dxa"/>
          </w:tcPr>
          <w:p w14:paraId="78C46CB5" w14:textId="50454E3D" w:rsidR="00931A5B" w:rsidRPr="00786C6C" w:rsidRDefault="006D6D2E" w:rsidP="00931A5B">
            <w:pPr>
              <w:rPr>
                <w:sz w:val="20"/>
                <w:szCs w:val="20"/>
              </w:rPr>
            </w:pPr>
            <w:r w:rsidRPr="00786C6C">
              <w:rPr>
                <w:sz w:val="20"/>
                <w:szCs w:val="20"/>
              </w:rPr>
              <w:t>Homosexual/Gay</w:t>
            </w:r>
          </w:p>
        </w:tc>
        <w:tc>
          <w:tcPr>
            <w:tcW w:w="2306" w:type="dxa"/>
          </w:tcPr>
          <w:p w14:paraId="65715D03" w14:textId="77777777" w:rsidR="006D6D2E" w:rsidRPr="00786C6C" w:rsidRDefault="006D6D2E" w:rsidP="006D6D2E">
            <w:pPr>
              <w:rPr>
                <w:sz w:val="20"/>
                <w:szCs w:val="20"/>
              </w:rPr>
            </w:pPr>
            <w:r w:rsidRPr="00786C6C">
              <w:rPr>
                <w:sz w:val="20"/>
                <w:szCs w:val="20"/>
              </w:rPr>
              <w:t>gay*; lesbian,</w:t>
            </w:r>
          </w:p>
          <w:p w14:paraId="228B6061" w14:textId="490A273D" w:rsidR="00931A5B" w:rsidRPr="00786C6C" w:rsidRDefault="006D6D2E" w:rsidP="006D6D2E">
            <w:pPr>
              <w:rPr>
                <w:sz w:val="20"/>
                <w:szCs w:val="20"/>
              </w:rPr>
            </w:pPr>
            <w:r w:rsidRPr="00786C6C">
              <w:rPr>
                <w:sz w:val="20"/>
                <w:szCs w:val="20"/>
              </w:rPr>
              <w:t>bi(sexual)†</w:t>
            </w:r>
          </w:p>
        </w:tc>
        <w:tc>
          <w:tcPr>
            <w:tcW w:w="3292" w:type="dxa"/>
          </w:tcPr>
          <w:p w14:paraId="57FD3032" w14:textId="7C97A4DF" w:rsidR="00931A5B" w:rsidRPr="00786C6C" w:rsidRDefault="006D6D2E" w:rsidP="00931A5B">
            <w:pPr>
              <w:rPr>
                <w:sz w:val="20"/>
                <w:szCs w:val="20"/>
              </w:rPr>
            </w:pPr>
            <w:r w:rsidRPr="00786C6C">
              <w:rPr>
                <w:sz w:val="20"/>
                <w:szCs w:val="20"/>
              </w:rPr>
              <w:t>Short form term to reference gay, lesbian, and bisexual orientations, though not transgender people or gender identity. Anti-gay activists use “homosexual” as a slur to stigmatize gay people by reducing their lives to purely sexual terms.</w:t>
            </w:r>
          </w:p>
        </w:tc>
        <w:tc>
          <w:tcPr>
            <w:tcW w:w="2551" w:type="dxa"/>
          </w:tcPr>
          <w:p w14:paraId="272EC888" w14:textId="7B7037F1" w:rsidR="00931A5B" w:rsidRPr="00786C6C" w:rsidRDefault="006D6D2E" w:rsidP="00931A5B">
            <w:pPr>
              <w:rPr>
                <w:sz w:val="20"/>
                <w:szCs w:val="20"/>
              </w:rPr>
            </w:pPr>
            <w:r w:rsidRPr="00786C6C">
              <w:rPr>
                <w:sz w:val="20"/>
                <w:szCs w:val="20"/>
              </w:rPr>
              <w:t>* Only when used as an adjective (</w:t>
            </w:r>
            <w:proofErr w:type="spellStart"/>
            <w:r w:rsidRPr="00786C6C">
              <w:rPr>
                <w:sz w:val="20"/>
                <w:szCs w:val="20"/>
              </w:rPr>
              <w:t>ie</w:t>
            </w:r>
            <w:proofErr w:type="spellEnd"/>
            <w:r w:rsidRPr="00786C6C">
              <w:rPr>
                <w:sz w:val="20"/>
                <w:szCs w:val="20"/>
              </w:rPr>
              <w:t>, gay people); † Use bisexual as an adj. and as needed on first reference for clarity, otherwise default to bi.</w:t>
            </w:r>
          </w:p>
        </w:tc>
      </w:tr>
      <w:tr w:rsidR="00B41C5F" w:rsidRPr="00786C6C" w14:paraId="13FBA16D" w14:textId="77777777" w:rsidTr="00B41C5F">
        <w:tc>
          <w:tcPr>
            <w:tcW w:w="3050" w:type="dxa"/>
          </w:tcPr>
          <w:p w14:paraId="64E437E4" w14:textId="7D60A3B3" w:rsidR="00931A5B" w:rsidRPr="00786C6C" w:rsidRDefault="006D6D2E" w:rsidP="00931A5B">
            <w:pPr>
              <w:rPr>
                <w:sz w:val="20"/>
                <w:szCs w:val="20"/>
              </w:rPr>
            </w:pPr>
            <w:r w:rsidRPr="00786C6C">
              <w:rPr>
                <w:sz w:val="20"/>
                <w:szCs w:val="20"/>
              </w:rPr>
              <w:t>Indian (when referencing Indigenous People)</w:t>
            </w:r>
          </w:p>
        </w:tc>
        <w:tc>
          <w:tcPr>
            <w:tcW w:w="2306" w:type="dxa"/>
          </w:tcPr>
          <w:p w14:paraId="22411D0B" w14:textId="70BB22D8" w:rsidR="00931A5B" w:rsidRPr="00786C6C" w:rsidRDefault="006D6D2E" w:rsidP="00931A5B">
            <w:pPr>
              <w:rPr>
                <w:sz w:val="20"/>
                <w:szCs w:val="20"/>
              </w:rPr>
            </w:pPr>
            <w:r w:rsidRPr="00786C6C">
              <w:rPr>
                <w:sz w:val="20"/>
                <w:szCs w:val="20"/>
              </w:rPr>
              <w:t>Indigenous People; specific tribe</w:t>
            </w:r>
          </w:p>
        </w:tc>
        <w:tc>
          <w:tcPr>
            <w:tcW w:w="3292" w:type="dxa"/>
          </w:tcPr>
          <w:p w14:paraId="3703E219" w14:textId="022D7091" w:rsidR="00931A5B" w:rsidRPr="00786C6C" w:rsidRDefault="006D6D2E" w:rsidP="00931A5B">
            <w:pPr>
              <w:rPr>
                <w:sz w:val="20"/>
                <w:szCs w:val="20"/>
              </w:rPr>
            </w:pPr>
            <w:r w:rsidRPr="00786C6C">
              <w:rPr>
                <w:sz w:val="20"/>
                <w:szCs w:val="20"/>
              </w:rPr>
              <w:t>The Oxford English dictionary defines Indian in two ways: 1) a native or inhabitant of India</w:t>
            </w:r>
            <w:r w:rsidR="00F51BF0" w:rsidRPr="00786C6C">
              <w:rPr>
                <w:sz w:val="20"/>
                <w:szCs w:val="20"/>
              </w:rPr>
              <w:t>*</w:t>
            </w:r>
            <w:r w:rsidRPr="00786C6C">
              <w:rPr>
                <w:sz w:val="20"/>
                <w:szCs w:val="20"/>
              </w:rPr>
              <w:t>; and 2) a member of any of the indigenous peoples of North, Central, and South America, especially those of North America.</w:t>
            </w:r>
          </w:p>
        </w:tc>
        <w:tc>
          <w:tcPr>
            <w:tcW w:w="2551" w:type="dxa"/>
          </w:tcPr>
          <w:p w14:paraId="2B05AE47" w14:textId="3E4317D3" w:rsidR="00931A5B" w:rsidRPr="00786C6C" w:rsidRDefault="006D6D2E" w:rsidP="00931A5B">
            <w:pPr>
              <w:rPr>
                <w:sz w:val="20"/>
                <w:szCs w:val="20"/>
              </w:rPr>
            </w:pPr>
            <w:r w:rsidRPr="00786C6C">
              <w:rPr>
                <w:sz w:val="20"/>
                <w:szCs w:val="20"/>
              </w:rPr>
              <w:t>* Acceptable use for Indian in this instance</w:t>
            </w:r>
          </w:p>
        </w:tc>
      </w:tr>
      <w:tr w:rsidR="00B41C5F" w:rsidRPr="00786C6C" w14:paraId="3656B7B8" w14:textId="77777777" w:rsidTr="00B41C5F">
        <w:tc>
          <w:tcPr>
            <w:tcW w:w="3050" w:type="dxa"/>
          </w:tcPr>
          <w:p w14:paraId="376C9EF3" w14:textId="7185103A" w:rsidR="00931A5B" w:rsidRPr="00786C6C" w:rsidRDefault="006D6D2E" w:rsidP="00931A5B">
            <w:pPr>
              <w:rPr>
                <w:sz w:val="20"/>
                <w:szCs w:val="20"/>
              </w:rPr>
            </w:pPr>
            <w:r w:rsidRPr="00786C6C">
              <w:rPr>
                <w:sz w:val="20"/>
                <w:szCs w:val="20"/>
              </w:rPr>
              <w:t>Invalid (noun: in·va·lid)</w:t>
            </w:r>
          </w:p>
        </w:tc>
        <w:tc>
          <w:tcPr>
            <w:tcW w:w="2306" w:type="dxa"/>
          </w:tcPr>
          <w:p w14:paraId="5D1AADA3" w14:textId="24441D67" w:rsidR="00931A5B" w:rsidRPr="00786C6C" w:rsidRDefault="006D6D2E" w:rsidP="00931A5B">
            <w:pPr>
              <w:rPr>
                <w:sz w:val="20"/>
                <w:szCs w:val="20"/>
              </w:rPr>
            </w:pPr>
            <w:r w:rsidRPr="00786C6C">
              <w:rPr>
                <w:sz w:val="20"/>
                <w:szCs w:val="20"/>
              </w:rPr>
              <w:t xml:space="preserve">Avoid in all instances*; use people first language and their diagnosis, </w:t>
            </w:r>
            <w:proofErr w:type="spellStart"/>
            <w:r w:rsidRPr="00786C6C">
              <w:rPr>
                <w:sz w:val="20"/>
                <w:szCs w:val="20"/>
              </w:rPr>
              <w:t>ie</w:t>
            </w:r>
            <w:proofErr w:type="spellEnd"/>
            <w:r w:rsidRPr="00786C6C">
              <w:rPr>
                <w:sz w:val="20"/>
                <w:szCs w:val="20"/>
              </w:rPr>
              <w:t>, “person with X</w:t>
            </w:r>
            <w:r w:rsidR="00F51BF0" w:rsidRPr="00786C6C">
              <w:rPr>
                <w:sz w:val="20"/>
                <w:szCs w:val="20"/>
              </w:rPr>
              <w:t>.</w:t>
            </w:r>
            <w:r w:rsidRPr="00786C6C">
              <w:rPr>
                <w:sz w:val="20"/>
                <w:szCs w:val="20"/>
              </w:rPr>
              <w:t>”</w:t>
            </w:r>
          </w:p>
        </w:tc>
        <w:tc>
          <w:tcPr>
            <w:tcW w:w="3292" w:type="dxa"/>
          </w:tcPr>
          <w:p w14:paraId="63842C7D" w14:textId="557FD1DA" w:rsidR="00931A5B" w:rsidRPr="00786C6C" w:rsidRDefault="006D6D2E" w:rsidP="00931A5B">
            <w:pPr>
              <w:rPr>
                <w:sz w:val="20"/>
                <w:szCs w:val="20"/>
              </w:rPr>
            </w:pPr>
            <w:r w:rsidRPr="00786C6C">
              <w:rPr>
                <w:sz w:val="20"/>
                <w:szCs w:val="20"/>
              </w:rPr>
              <w:t>The Oxford English dictionary defines an invalid as “a person made weak or disabled by illness or injury.” It is probably the oldest term for someone living with physical conditions that are considered seriously limiting.</w:t>
            </w:r>
          </w:p>
        </w:tc>
        <w:tc>
          <w:tcPr>
            <w:tcW w:w="2551" w:type="dxa"/>
          </w:tcPr>
          <w:p w14:paraId="60ABB54A" w14:textId="096AB8AA" w:rsidR="00931A5B" w:rsidRPr="00786C6C" w:rsidRDefault="006D6D2E" w:rsidP="00931A5B">
            <w:pPr>
              <w:rPr>
                <w:sz w:val="20"/>
                <w:szCs w:val="20"/>
              </w:rPr>
            </w:pPr>
            <w:r w:rsidRPr="00786C6C">
              <w:rPr>
                <w:sz w:val="20"/>
                <w:szCs w:val="20"/>
              </w:rPr>
              <w:t>* Except when used in a direct quote</w:t>
            </w:r>
          </w:p>
        </w:tc>
      </w:tr>
      <w:tr w:rsidR="00B41C5F" w:rsidRPr="00786C6C" w14:paraId="3AD541CA" w14:textId="77777777" w:rsidTr="00B41C5F">
        <w:tc>
          <w:tcPr>
            <w:tcW w:w="3050" w:type="dxa"/>
          </w:tcPr>
          <w:p w14:paraId="37D2CD89" w14:textId="24607A60" w:rsidR="00931A5B" w:rsidRPr="00786C6C" w:rsidRDefault="006D6D2E" w:rsidP="00931A5B">
            <w:pPr>
              <w:rPr>
                <w:sz w:val="20"/>
                <w:szCs w:val="20"/>
              </w:rPr>
            </w:pPr>
            <w:r w:rsidRPr="00786C6C">
              <w:rPr>
                <w:sz w:val="20"/>
                <w:szCs w:val="20"/>
              </w:rPr>
              <w:t>Lame</w:t>
            </w:r>
          </w:p>
        </w:tc>
        <w:tc>
          <w:tcPr>
            <w:tcW w:w="2306" w:type="dxa"/>
          </w:tcPr>
          <w:p w14:paraId="2D23C362" w14:textId="5D8584F4" w:rsidR="00931A5B" w:rsidRPr="00786C6C" w:rsidRDefault="006D6D2E" w:rsidP="00931A5B">
            <w:pPr>
              <w:rPr>
                <w:sz w:val="20"/>
                <w:szCs w:val="20"/>
              </w:rPr>
            </w:pPr>
            <w:r w:rsidRPr="00786C6C">
              <w:rPr>
                <w:sz w:val="20"/>
                <w:szCs w:val="20"/>
              </w:rPr>
              <w:t>“</w:t>
            </w:r>
            <w:proofErr w:type="gramStart"/>
            <w:r w:rsidRPr="00786C6C">
              <w:rPr>
                <w:sz w:val="20"/>
                <w:szCs w:val="20"/>
              </w:rPr>
              <w:t>difficulty</w:t>
            </w:r>
            <w:proofErr w:type="gramEnd"/>
            <w:r w:rsidRPr="00786C6C">
              <w:rPr>
                <w:sz w:val="20"/>
                <w:szCs w:val="20"/>
              </w:rPr>
              <w:t xml:space="preserve"> walking”</w:t>
            </w:r>
          </w:p>
        </w:tc>
        <w:tc>
          <w:tcPr>
            <w:tcW w:w="3292" w:type="dxa"/>
          </w:tcPr>
          <w:p w14:paraId="500B4C6F" w14:textId="1461F7DC" w:rsidR="00931A5B" w:rsidRPr="00786C6C" w:rsidRDefault="006D6D2E" w:rsidP="00931A5B">
            <w:pPr>
              <w:rPr>
                <w:sz w:val="20"/>
                <w:szCs w:val="20"/>
              </w:rPr>
            </w:pPr>
            <w:r w:rsidRPr="00786C6C">
              <w:rPr>
                <w:sz w:val="20"/>
                <w:szCs w:val="20"/>
              </w:rPr>
              <w:t>Commonly used to describe difficulty walking as the result of an injury to the leg.</w:t>
            </w:r>
          </w:p>
        </w:tc>
        <w:tc>
          <w:tcPr>
            <w:tcW w:w="2551" w:type="dxa"/>
          </w:tcPr>
          <w:p w14:paraId="5C802340" w14:textId="77777777" w:rsidR="00931A5B" w:rsidRPr="00786C6C" w:rsidRDefault="00931A5B" w:rsidP="00931A5B">
            <w:pPr>
              <w:rPr>
                <w:sz w:val="20"/>
                <w:szCs w:val="20"/>
              </w:rPr>
            </w:pPr>
          </w:p>
        </w:tc>
      </w:tr>
      <w:tr w:rsidR="00B41C5F" w:rsidRPr="00786C6C" w14:paraId="75C8B235" w14:textId="77777777" w:rsidTr="00B41C5F">
        <w:tc>
          <w:tcPr>
            <w:tcW w:w="3050" w:type="dxa"/>
          </w:tcPr>
          <w:p w14:paraId="2249BFAC" w14:textId="49672678" w:rsidR="00931A5B" w:rsidRPr="00786C6C" w:rsidRDefault="006D6D2E" w:rsidP="00931A5B">
            <w:pPr>
              <w:rPr>
                <w:sz w:val="20"/>
                <w:szCs w:val="20"/>
              </w:rPr>
            </w:pPr>
            <w:r w:rsidRPr="00786C6C">
              <w:rPr>
                <w:sz w:val="20"/>
                <w:szCs w:val="20"/>
              </w:rPr>
              <w:t>LGBT (when talking with those who are unfamiliar with the issues or are not supportive of the issues)</w:t>
            </w:r>
          </w:p>
        </w:tc>
        <w:tc>
          <w:tcPr>
            <w:tcW w:w="2306" w:type="dxa"/>
          </w:tcPr>
          <w:p w14:paraId="024AE26F" w14:textId="2AB97E4E" w:rsidR="00931A5B" w:rsidRPr="00786C6C" w:rsidRDefault="006D6D2E" w:rsidP="00931A5B">
            <w:pPr>
              <w:rPr>
                <w:sz w:val="20"/>
                <w:szCs w:val="20"/>
              </w:rPr>
            </w:pPr>
            <w:r w:rsidRPr="00786C6C">
              <w:rPr>
                <w:sz w:val="20"/>
                <w:szCs w:val="20"/>
              </w:rPr>
              <w:t>Gay and transgender; lesbian, gay, bisexual, and transgender*</w:t>
            </w:r>
          </w:p>
        </w:tc>
        <w:tc>
          <w:tcPr>
            <w:tcW w:w="3292" w:type="dxa"/>
          </w:tcPr>
          <w:p w14:paraId="0DDD719A" w14:textId="6A58FBE6" w:rsidR="00931A5B" w:rsidRPr="00786C6C" w:rsidRDefault="006D6D2E" w:rsidP="00931A5B">
            <w:pPr>
              <w:rPr>
                <w:sz w:val="20"/>
                <w:szCs w:val="20"/>
              </w:rPr>
            </w:pPr>
            <w:r w:rsidRPr="00786C6C">
              <w:rPr>
                <w:sz w:val="20"/>
                <w:szCs w:val="20"/>
              </w:rPr>
              <w:t>Per “The Ally's Guide to Terminology”: Reference sexual orientation and gender identity when talking about issues pertaining to both. (See Transgender for more information.) The abbreviation “LGBT” can be confusing and alienating for those who are unfamiliar with the issues or not yet supportive—though it is essential when talking to LGBT and strongly supportive audiences. Use the term that allows your audience to stay focused on the message without creating confusion about your intended meaning.</w:t>
            </w:r>
          </w:p>
        </w:tc>
        <w:tc>
          <w:tcPr>
            <w:tcW w:w="2551" w:type="dxa"/>
          </w:tcPr>
          <w:p w14:paraId="035BDA0C" w14:textId="6D5010E4" w:rsidR="00931A5B" w:rsidRPr="00786C6C" w:rsidRDefault="006D6D2E" w:rsidP="00931A5B">
            <w:pPr>
              <w:rPr>
                <w:sz w:val="20"/>
                <w:szCs w:val="20"/>
              </w:rPr>
            </w:pPr>
            <w:r w:rsidRPr="00786C6C">
              <w:rPr>
                <w:sz w:val="20"/>
                <w:szCs w:val="20"/>
              </w:rPr>
              <w:t>* If needed for clarity</w:t>
            </w:r>
          </w:p>
        </w:tc>
      </w:tr>
      <w:tr w:rsidR="00B41C5F" w:rsidRPr="00786C6C" w14:paraId="6D871E98" w14:textId="77777777" w:rsidTr="00B41C5F">
        <w:tc>
          <w:tcPr>
            <w:tcW w:w="3050" w:type="dxa"/>
          </w:tcPr>
          <w:p w14:paraId="2F698FC5" w14:textId="70CDAE18" w:rsidR="00931A5B" w:rsidRPr="00786C6C" w:rsidRDefault="006D6D2E" w:rsidP="00931A5B">
            <w:pPr>
              <w:rPr>
                <w:sz w:val="20"/>
                <w:szCs w:val="20"/>
              </w:rPr>
            </w:pPr>
            <w:r w:rsidRPr="00786C6C">
              <w:rPr>
                <w:sz w:val="20"/>
                <w:szCs w:val="20"/>
              </w:rPr>
              <w:t>Master/Slave</w:t>
            </w:r>
          </w:p>
        </w:tc>
        <w:tc>
          <w:tcPr>
            <w:tcW w:w="2306" w:type="dxa"/>
          </w:tcPr>
          <w:p w14:paraId="7FBD3D6C" w14:textId="2061F7AB" w:rsidR="00931A5B" w:rsidRPr="00786C6C" w:rsidRDefault="006D6D2E" w:rsidP="00931A5B">
            <w:pPr>
              <w:rPr>
                <w:sz w:val="20"/>
                <w:szCs w:val="20"/>
              </w:rPr>
            </w:pPr>
            <w:r w:rsidRPr="00786C6C">
              <w:rPr>
                <w:sz w:val="20"/>
                <w:szCs w:val="20"/>
              </w:rPr>
              <w:t xml:space="preserve">leader/follower; parent/child; </w:t>
            </w:r>
            <w:r w:rsidRPr="00786C6C">
              <w:rPr>
                <w:sz w:val="20"/>
                <w:szCs w:val="20"/>
              </w:rPr>
              <w:lastRenderedPageBreak/>
              <w:t>primary/secondary; main/secondary*</w:t>
            </w:r>
          </w:p>
        </w:tc>
        <w:tc>
          <w:tcPr>
            <w:tcW w:w="3292" w:type="dxa"/>
          </w:tcPr>
          <w:p w14:paraId="19EA55AB" w14:textId="77777777" w:rsidR="00931A5B" w:rsidRPr="00786C6C" w:rsidRDefault="00931A5B" w:rsidP="00931A5B">
            <w:pPr>
              <w:rPr>
                <w:sz w:val="20"/>
                <w:szCs w:val="20"/>
              </w:rPr>
            </w:pPr>
          </w:p>
        </w:tc>
        <w:tc>
          <w:tcPr>
            <w:tcW w:w="2551" w:type="dxa"/>
          </w:tcPr>
          <w:p w14:paraId="4DE5374B" w14:textId="4C7F57B4" w:rsidR="00931A5B" w:rsidRPr="00786C6C" w:rsidRDefault="006D6D2E" w:rsidP="00931A5B">
            <w:pPr>
              <w:rPr>
                <w:sz w:val="20"/>
                <w:szCs w:val="20"/>
              </w:rPr>
            </w:pPr>
            <w:r w:rsidRPr="00786C6C">
              <w:rPr>
                <w:sz w:val="20"/>
                <w:szCs w:val="20"/>
              </w:rPr>
              <w:t>* Preferred term from IEEE Thesaurus</w:t>
            </w:r>
          </w:p>
        </w:tc>
      </w:tr>
      <w:tr w:rsidR="00B41C5F" w:rsidRPr="00786C6C" w14:paraId="01EC3AD8" w14:textId="77777777" w:rsidTr="00F51BF0">
        <w:trPr>
          <w:trHeight w:val="908"/>
        </w:trPr>
        <w:tc>
          <w:tcPr>
            <w:tcW w:w="3050" w:type="dxa"/>
          </w:tcPr>
          <w:p w14:paraId="73ADB210" w14:textId="5EC7EEC5" w:rsidR="00931A5B" w:rsidRPr="00786C6C" w:rsidRDefault="006D6D2E" w:rsidP="00931A5B">
            <w:pPr>
              <w:rPr>
                <w:sz w:val="20"/>
                <w:szCs w:val="20"/>
              </w:rPr>
            </w:pPr>
            <w:r w:rsidRPr="00786C6C">
              <w:rPr>
                <w:sz w:val="20"/>
                <w:szCs w:val="20"/>
              </w:rPr>
              <w:t>Mentally ill/ emotionally disturbed</w:t>
            </w:r>
          </w:p>
        </w:tc>
        <w:tc>
          <w:tcPr>
            <w:tcW w:w="2306" w:type="dxa"/>
          </w:tcPr>
          <w:p w14:paraId="699511F6" w14:textId="67991816" w:rsidR="00931A5B" w:rsidRPr="00786C6C" w:rsidRDefault="006D6D2E" w:rsidP="00931A5B">
            <w:pPr>
              <w:rPr>
                <w:sz w:val="20"/>
                <w:szCs w:val="20"/>
              </w:rPr>
            </w:pPr>
            <w:r w:rsidRPr="00786C6C">
              <w:rPr>
                <w:sz w:val="20"/>
                <w:szCs w:val="20"/>
              </w:rPr>
              <w:t>Person with a psychiatric disability</w:t>
            </w:r>
          </w:p>
        </w:tc>
        <w:tc>
          <w:tcPr>
            <w:tcW w:w="3292" w:type="dxa"/>
          </w:tcPr>
          <w:p w14:paraId="16DEF7D7" w14:textId="77777777" w:rsidR="00931A5B" w:rsidRPr="00786C6C" w:rsidRDefault="00931A5B" w:rsidP="00931A5B">
            <w:pPr>
              <w:rPr>
                <w:sz w:val="20"/>
                <w:szCs w:val="20"/>
              </w:rPr>
            </w:pPr>
          </w:p>
        </w:tc>
        <w:tc>
          <w:tcPr>
            <w:tcW w:w="2551" w:type="dxa"/>
          </w:tcPr>
          <w:p w14:paraId="02D6B50C" w14:textId="77777777" w:rsidR="00931A5B" w:rsidRPr="00786C6C" w:rsidRDefault="00931A5B" w:rsidP="00931A5B">
            <w:pPr>
              <w:rPr>
                <w:sz w:val="20"/>
                <w:szCs w:val="20"/>
              </w:rPr>
            </w:pPr>
          </w:p>
        </w:tc>
      </w:tr>
      <w:tr w:rsidR="00B41C5F" w:rsidRPr="00786C6C" w14:paraId="63D26FFD" w14:textId="77777777" w:rsidTr="00B41C5F">
        <w:tc>
          <w:tcPr>
            <w:tcW w:w="3050" w:type="dxa"/>
          </w:tcPr>
          <w:p w14:paraId="5E9A2DC3" w14:textId="177B76FA" w:rsidR="00931A5B" w:rsidRPr="00786C6C" w:rsidRDefault="006D6D2E" w:rsidP="00931A5B">
            <w:pPr>
              <w:rPr>
                <w:sz w:val="20"/>
                <w:szCs w:val="20"/>
              </w:rPr>
            </w:pPr>
            <w:r w:rsidRPr="00786C6C">
              <w:rPr>
                <w:sz w:val="20"/>
                <w:szCs w:val="20"/>
              </w:rPr>
              <w:t>Minorities</w:t>
            </w:r>
          </w:p>
        </w:tc>
        <w:tc>
          <w:tcPr>
            <w:tcW w:w="2306" w:type="dxa"/>
          </w:tcPr>
          <w:p w14:paraId="5BDA72A4" w14:textId="761DC7F8" w:rsidR="00931A5B" w:rsidRPr="00786C6C" w:rsidRDefault="006D6D2E" w:rsidP="00931A5B">
            <w:pPr>
              <w:rPr>
                <w:sz w:val="20"/>
                <w:szCs w:val="20"/>
              </w:rPr>
            </w:pPr>
            <w:r w:rsidRPr="00786C6C">
              <w:rPr>
                <w:sz w:val="20"/>
                <w:szCs w:val="20"/>
              </w:rPr>
              <w:t>People of color*; underrepresented groups†</w:t>
            </w:r>
          </w:p>
        </w:tc>
        <w:tc>
          <w:tcPr>
            <w:tcW w:w="3292" w:type="dxa"/>
          </w:tcPr>
          <w:p w14:paraId="666CE9D9" w14:textId="5BEB6D0D" w:rsidR="00931A5B" w:rsidRPr="00786C6C" w:rsidRDefault="006D6D2E" w:rsidP="00931A5B">
            <w:pPr>
              <w:rPr>
                <w:sz w:val="20"/>
                <w:szCs w:val="20"/>
              </w:rPr>
            </w:pPr>
            <w:r w:rsidRPr="00786C6C">
              <w:rPr>
                <w:sz w:val="20"/>
                <w:szCs w:val="20"/>
              </w:rPr>
              <w:t>The use of “minority” may be viewed pejoratively because it is usually equated with being less than, oppressed, or deficient in comparison with the majority (i.e., White people).</w:t>
            </w:r>
          </w:p>
        </w:tc>
        <w:tc>
          <w:tcPr>
            <w:tcW w:w="2551" w:type="dxa"/>
          </w:tcPr>
          <w:p w14:paraId="7B5415BA" w14:textId="6333E102" w:rsidR="00931A5B" w:rsidRPr="00786C6C" w:rsidRDefault="006D6D2E" w:rsidP="00931A5B">
            <w:pPr>
              <w:rPr>
                <w:sz w:val="20"/>
                <w:szCs w:val="20"/>
              </w:rPr>
            </w:pPr>
            <w:r w:rsidRPr="00786C6C">
              <w:rPr>
                <w:sz w:val="20"/>
                <w:szCs w:val="20"/>
              </w:rPr>
              <w:t>* POC (people of color). † When possible, use the specific name of the group or groups to which you are referring.</w:t>
            </w:r>
          </w:p>
        </w:tc>
      </w:tr>
      <w:tr w:rsidR="00B41C5F" w:rsidRPr="00786C6C" w14:paraId="5788E0A2" w14:textId="77777777" w:rsidTr="00F51BF0">
        <w:trPr>
          <w:trHeight w:val="774"/>
        </w:trPr>
        <w:tc>
          <w:tcPr>
            <w:tcW w:w="3050" w:type="dxa"/>
          </w:tcPr>
          <w:p w14:paraId="1B1F1AA6" w14:textId="1596BA8F" w:rsidR="00931A5B" w:rsidRPr="00786C6C" w:rsidRDefault="006D6D2E" w:rsidP="00931A5B">
            <w:pPr>
              <w:rPr>
                <w:sz w:val="20"/>
                <w:szCs w:val="20"/>
              </w:rPr>
            </w:pPr>
            <w:r w:rsidRPr="00786C6C">
              <w:rPr>
                <w:sz w:val="20"/>
                <w:szCs w:val="20"/>
              </w:rPr>
              <w:t>Normal People</w:t>
            </w:r>
          </w:p>
        </w:tc>
        <w:tc>
          <w:tcPr>
            <w:tcW w:w="2306" w:type="dxa"/>
          </w:tcPr>
          <w:p w14:paraId="134E0EB3" w14:textId="61E75E8A" w:rsidR="00931A5B" w:rsidRPr="00786C6C" w:rsidRDefault="006D6D2E" w:rsidP="00931A5B">
            <w:pPr>
              <w:rPr>
                <w:sz w:val="20"/>
                <w:szCs w:val="20"/>
              </w:rPr>
            </w:pPr>
            <w:r w:rsidRPr="00786C6C">
              <w:rPr>
                <w:sz w:val="20"/>
                <w:szCs w:val="20"/>
              </w:rPr>
              <w:t>Person without X</w:t>
            </w:r>
          </w:p>
        </w:tc>
        <w:tc>
          <w:tcPr>
            <w:tcW w:w="3292" w:type="dxa"/>
          </w:tcPr>
          <w:p w14:paraId="3496ABF0" w14:textId="77777777" w:rsidR="00931A5B" w:rsidRPr="00786C6C" w:rsidRDefault="00931A5B" w:rsidP="00931A5B">
            <w:pPr>
              <w:rPr>
                <w:sz w:val="20"/>
                <w:szCs w:val="20"/>
              </w:rPr>
            </w:pPr>
          </w:p>
        </w:tc>
        <w:tc>
          <w:tcPr>
            <w:tcW w:w="2551" w:type="dxa"/>
          </w:tcPr>
          <w:p w14:paraId="134EF7E6" w14:textId="77777777" w:rsidR="00931A5B" w:rsidRPr="00786C6C" w:rsidRDefault="00931A5B" w:rsidP="00931A5B">
            <w:pPr>
              <w:rPr>
                <w:sz w:val="20"/>
                <w:szCs w:val="20"/>
              </w:rPr>
            </w:pPr>
          </w:p>
        </w:tc>
      </w:tr>
      <w:tr w:rsidR="00B41C5F" w:rsidRPr="00786C6C" w14:paraId="74B3F925" w14:textId="77777777" w:rsidTr="00B41C5F">
        <w:tc>
          <w:tcPr>
            <w:tcW w:w="3050" w:type="dxa"/>
          </w:tcPr>
          <w:p w14:paraId="391E9BE4" w14:textId="19D7572D" w:rsidR="00931A5B" w:rsidRPr="00786C6C" w:rsidRDefault="006D6D2E" w:rsidP="00931A5B">
            <w:pPr>
              <w:rPr>
                <w:sz w:val="20"/>
                <w:szCs w:val="20"/>
              </w:rPr>
            </w:pPr>
            <w:r w:rsidRPr="00786C6C">
              <w:rPr>
                <w:sz w:val="20"/>
                <w:szCs w:val="20"/>
              </w:rPr>
              <w:t>Oriental (when referencing race)</w:t>
            </w:r>
          </w:p>
        </w:tc>
        <w:tc>
          <w:tcPr>
            <w:tcW w:w="2306" w:type="dxa"/>
          </w:tcPr>
          <w:p w14:paraId="664F4906" w14:textId="02198590" w:rsidR="00931A5B" w:rsidRPr="00786C6C" w:rsidRDefault="006D6D2E" w:rsidP="00931A5B">
            <w:pPr>
              <w:rPr>
                <w:sz w:val="20"/>
                <w:szCs w:val="20"/>
              </w:rPr>
            </w:pPr>
            <w:r w:rsidRPr="00786C6C">
              <w:rPr>
                <w:sz w:val="20"/>
                <w:szCs w:val="20"/>
              </w:rPr>
              <w:t>Asian*; Asian American†</w:t>
            </w:r>
          </w:p>
        </w:tc>
        <w:tc>
          <w:tcPr>
            <w:tcW w:w="3292" w:type="dxa"/>
          </w:tcPr>
          <w:p w14:paraId="0AB16B29" w14:textId="3960E529" w:rsidR="00931A5B" w:rsidRPr="00786C6C" w:rsidRDefault="006D6D2E" w:rsidP="00931A5B">
            <w:pPr>
              <w:rPr>
                <w:sz w:val="20"/>
                <w:szCs w:val="20"/>
              </w:rPr>
            </w:pPr>
            <w:r w:rsidRPr="00786C6C">
              <w:rPr>
                <w:sz w:val="20"/>
                <w:szCs w:val="20"/>
              </w:rPr>
              <w:t>“Orientals” is considered pejorative; be more specific by providing nation and region of origin (Japanese, Chinese, Vietnamese, etc.).</w:t>
            </w:r>
          </w:p>
        </w:tc>
        <w:tc>
          <w:tcPr>
            <w:tcW w:w="2551" w:type="dxa"/>
          </w:tcPr>
          <w:p w14:paraId="5368C0A9" w14:textId="71471B20" w:rsidR="00931A5B" w:rsidRPr="00786C6C" w:rsidRDefault="006D6D2E" w:rsidP="00931A5B">
            <w:pPr>
              <w:rPr>
                <w:sz w:val="20"/>
                <w:szCs w:val="20"/>
              </w:rPr>
            </w:pPr>
            <w:r w:rsidRPr="00786C6C">
              <w:rPr>
                <w:sz w:val="20"/>
                <w:szCs w:val="20"/>
              </w:rPr>
              <w:t>* For people from Asia; † People of Asian descent in North America</w:t>
            </w:r>
          </w:p>
        </w:tc>
      </w:tr>
      <w:tr w:rsidR="00B41C5F" w:rsidRPr="00786C6C" w14:paraId="7FBE83E0" w14:textId="77777777" w:rsidTr="00B41C5F">
        <w:tc>
          <w:tcPr>
            <w:tcW w:w="3050" w:type="dxa"/>
          </w:tcPr>
          <w:p w14:paraId="3769F3E8" w14:textId="404FF09E" w:rsidR="00931A5B" w:rsidRPr="00786C6C" w:rsidRDefault="006D6D2E" w:rsidP="00931A5B">
            <w:pPr>
              <w:rPr>
                <w:sz w:val="20"/>
                <w:szCs w:val="20"/>
              </w:rPr>
            </w:pPr>
            <w:r w:rsidRPr="00786C6C">
              <w:rPr>
                <w:sz w:val="20"/>
                <w:szCs w:val="20"/>
              </w:rPr>
              <w:t>Retarded/Slow learner</w:t>
            </w:r>
          </w:p>
        </w:tc>
        <w:tc>
          <w:tcPr>
            <w:tcW w:w="2306" w:type="dxa"/>
          </w:tcPr>
          <w:p w14:paraId="76BEE1AC" w14:textId="267E762A" w:rsidR="00931A5B" w:rsidRPr="00786C6C" w:rsidRDefault="006D6D2E" w:rsidP="00931A5B">
            <w:pPr>
              <w:rPr>
                <w:sz w:val="20"/>
                <w:szCs w:val="20"/>
              </w:rPr>
            </w:pPr>
            <w:r w:rsidRPr="00786C6C">
              <w:rPr>
                <w:sz w:val="20"/>
                <w:szCs w:val="20"/>
              </w:rPr>
              <w:t>Learning disability*</w:t>
            </w:r>
          </w:p>
        </w:tc>
        <w:tc>
          <w:tcPr>
            <w:tcW w:w="3292" w:type="dxa"/>
          </w:tcPr>
          <w:p w14:paraId="13E46DE3" w14:textId="6EF346D1" w:rsidR="00931A5B" w:rsidRPr="00786C6C" w:rsidRDefault="006D6D2E" w:rsidP="00931A5B">
            <w:pPr>
              <w:rPr>
                <w:sz w:val="20"/>
                <w:szCs w:val="20"/>
              </w:rPr>
            </w:pPr>
            <w:r w:rsidRPr="00786C6C">
              <w:rPr>
                <w:sz w:val="20"/>
                <w:szCs w:val="20"/>
              </w:rPr>
              <w:t>According to the University of Kansas Research &amp; Training Center on Independent Living: “...describes a neurologically based condition that may manifest itself as difficulty learning and using skills in reading (called dyslexia), writing (dysgraphia), mathematics (dyscalculia) and other cognitive processes due to differences in how the brain processes information. Individuals with learning disabilities have average or above average intelligence, and the term does not include a learning problem that is primarily the result of another cause, such as intellectual disabilities or lack of educational opportunity.”</w:t>
            </w:r>
          </w:p>
        </w:tc>
        <w:tc>
          <w:tcPr>
            <w:tcW w:w="2551" w:type="dxa"/>
          </w:tcPr>
          <w:p w14:paraId="3D584E3E" w14:textId="5B620E93" w:rsidR="00931A5B" w:rsidRPr="00786C6C" w:rsidRDefault="006D6D2E" w:rsidP="00931A5B">
            <w:pPr>
              <w:rPr>
                <w:sz w:val="20"/>
                <w:szCs w:val="20"/>
              </w:rPr>
            </w:pPr>
            <w:r w:rsidRPr="00786C6C">
              <w:rPr>
                <w:sz w:val="20"/>
                <w:szCs w:val="20"/>
              </w:rPr>
              <w:t>* Only when the condition has been medically diagnosed</w:t>
            </w:r>
          </w:p>
        </w:tc>
      </w:tr>
      <w:tr w:rsidR="00B41C5F" w:rsidRPr="00786C6C" w14:paraId="38CD0A80" w14:textId="77777777" w:rsidTr="00F51BF0">
        <w:trPr>
          <w:trHeight w:val="1072"/>
        </w:trPr>
        <w:tc>
          <w:tcPr>
            <w:tcW w:w="3050" w:type="dxa"/>
          </w:tcPr>
          <w:p w14:paraId="4AD62308" w14:textId="22A1F393" w:rsidR="00931A5B" w:rsidRPr="00786C6C" w:rsidRDefault="00C84562" w:rsidP="00931A5B">
            <w:pPr>
              <w:rPr>
                <w:sz w:val="20"/>
                <w:szCs w:val="20"/>
              </w:rPr>
            </w:pPr>
            <w:r w:rsidRPr="00786C6C">
              <w:rPr>
                <w:sz w:val="20"/>
                <w:szCs w:val="20"/>
              </w:rPr>
              <w:t>Schizophrenic</w:t>
            </w:r>
            <w:r w:rsidR="006D6D2E" w:rsidRPr="00786C6C">
              <w:rPr>
                <w:sz w:val="20"/>
                <w:szCs w:val="20"/>
              </w:rPr>
              <w:t>/</w:t>
            </w:r>
            <w:proofErr w:type="spellStart"/>
            <w:r w:rsidR="006D6D2E" w:rsidRPr="00786C6C">
              <w:rPr>
                <w:sz w:val="20"/>
                <w:szCs w:val="20"/>
              </w:rPr>
              <w:t>Schizo</w:t>
            </w:r>
            <w:proofErr w:type="spellEnd"/>
          </w:p>
        </w:tc>
        <w:tc>
          <w:tcPr>
            <w:tcW w:w="2306" w:type="dxa"/>
          </w:tcPr>
          <w:p w14:paraId="140AD116" w14:textId="579AC9AB" w:rsidR="00931A5B" w:rsidRPr="00786C6C" w:rsidRDefault="006D6D2E" w:rsidP="00931A5B">
            <w:pPr>
              <w:rPr>
                <w:sz w:val="20"/>
                <w:szCs w:val="20"/>
              </w:rPr>
            </w:pPr>
            <w:r w:rsidRPr="00786C6C">
              <w:rPr>
                <w:sz w:val="20"/>
                <w:szCs w:val="20"/>
              </w:rPr>
              <w:t>Person with schizophrenia</w:t>
            </w:r>
          </w:p>
        </w:tc>
        <w:tc>
          <w:tcPr>
            <w:tcW w:w="3292" w:type="dxa"/>
          </w:tcPr>
          <w:p w14:paraId="7E03F109" w14:textId="77777777" w:rsidR="00931A5B" w:rsidRPr="00786C6C" w:rsidRDefault="00931A5B" w:rsidP="00931A5B">
            <w:pPr>
              <w:rPr>
                <w:sz w:val="20"/>
                <w:szCs w:val="20"/>
              </w:rPr>
            </w:pPr>
          </w:p>
        </w:tc>
        <w:tc>
          <w:tcPr>
            <w:tcW w:w="2551" w:type="dxa"/>
          </w:tcPr>
          <w:p w14:paraId="7842E160" w14:textId="77777777" w:rsidR="00931A5B" w:rsidRPr="00786C6C" w:rsidRDefault="00931A5B" w:rsidP="00931A5B">
            <w:pPr>
              <w:rPr>
                <w:sz w:val="20"/>
                <w:szCs w:val="20"/>
              </w:rPr>
            </w:pPr>
          </w:p>
        </w:tc>
      </w:tr>
      <w:tr w:rsidR="00B41C5F" w:rsidRPr="00786C6C" w14:paraId="0AECD692" w14:textId="77777777" w:rsidTr="00F51BF0">
        <w:trPr>
          <w:trHeight w:val="3525"/>
        </w:trPr>
        <w:tc>
          <w:tcPr>
            <w:tcW w:w="3050" w:type="dxa"/>
          </w:tcPr>
          <w:p w14:paraId="0BFEE9D6" w14:textId="224B6BF6" w:rsidR="00931A5B" w:rsidRPr="00786C6C" w:rsidRDefault="006D6D2E" w:rsidP="00931A5B">
            <w:pPr>
              <w:rPr>
                <w:sz w:val="20"/>
                <w:szCs w:val="20"/>
              </w:rPr>
            </w:pPr>
            <w:r w:rsidRPr="00786C6C">
              <w:rPr>
                <w:sz w:val="20"/>
                <w:szCs w:val="20"/>
              </w:rPr>
              <w:lastRenderedPageBreak/>
              <w:t>Sex change (operation)</w:t>
            </w:r>
          </w:p>
        </w:tc>
        <w:tc>
          <w:tcPr>
            <w:tcW w:w="2306" w:type="dxa"/>
          </w:tcPr>
          <w:p w14:paraId="4D5D80A0" w14:textId="30033CE7" w:rsidR="00931A5B" w:rsidRPr="00786C6C" w:rsidRDefault="006D6D2E" w:rsidP="00931A5B">
            <w:pPr>
              <w:rPr>
                <w:sz w:val="20"/>
                <w:szCs w:val="20"/>
              </w:rPr>
            </w:pPr>
            <w:r w:rsidRPr="00786C6C">
              <w:rPr>
                <w:sz w:val="20"/>
                <w:szCs w:val="20"/>
              </w:rPr>
              <w:t>Transition</w:t>
            </w:r>
          </w:p>
        </w:tc>
        <w:tc>
          <w:tcPr>
            <w:tcW w:w="3292" w:type="dxa"/>
          </w:tcPr>
          <w:p w14:paraId="171C4858" w14:textId="568DE571" w:rsidR="00931A5B" w:rsidRPr="00786C6C" w:rsidRDefault="00C84562" w:rsidP="00931A5B">
            <w:pPr>
              <w:rPr>
                <w:sz w:val="20"/>
                <w:szCs w:val="20"/>
              </w:rPr>
            </w:pPr>
            <w:r w:rsidRPr="00786C6C">
              <w:rPr>
                <w:sz w:val="20"/>
                <w:szCs w:val="20"/>
              </w:rPr>
              <w:t>Per hrc.org: The process by which some people strive to more closely align their internal knowledge of gender with its outward appearance. Some people socially transition, whereby they might begin dressing, using names and pronouns, and/or be socially recognized as another gender. Others undergo physical transitions in which they modify their bodies through medical interventions.</w:t>
            </w:r>
          </w:p>
        </w:tc>
        <w:tc>
          <w:tcPr>
            <w:tcW w:w="2551" w:type="dxa"/>
          </w:tcPr>
          <w:p w14:paraId="33101470" w14:textId="6A431D5F" w:rsidR="00931A5B" w:rsidRPr="00786C6C" w:rsidRDefault="00C84562" w:rsidP="00931A5B">
            <w:pPr>
              <w:rPr>
                <w:sz w:val="20"/>
                <w:szCs w:val="20"/>
              </w:rPr>
            </w:pPr>
            <w:r w:rsidRPr="00786C6C">
              <w:rPr>
                <w:sz w:val="20"/>
                <w:szCs w:val="20"/>
              </w:rPr>
              <w:t>Transition is the accurate term that does not fixate on surgeries, which many transgender people do not or cannot undergo. Terms like “pre-op” or “postop” unnecessarily fixate on a person’s anatomy and should be avoided.</w:t>
            </w:r>
          </w:p>
        </w:tc>
      </w:tr>
      <w:tr w:rsidR="00B41C5F" w:rsidRPr="00786C6C" w14:paraId="2DA4D8EA" w14:textId="77777777" w:rsidTr="00B41C5F">
        <w:tc>
          <w:tcPr>
            <w:tcW w:w="3050" w:type="dxa"/>
          </w:tcPr>
          <w:p w14:paraId="3AF05643" w14:textId="6301B7DC" w:rsidR="00931A5B" w:rsidRPr="00786C6C" w:rsidRDefault="00C84562" w:rsidP="00931A5B">
            <w:pPr>
              <w:rPr>
                <w:sz w:val="20"/>
                <w:szCs w:val="20"/>
              </w:rPr>
            </w:pPr>
            <w:r w:rsidRPr="00786C6C">
              <w:rPr>
                <w:sz w:val="20"/>
                <w:szCs w:val="20"/>
              </w:rPr>
              <w:t>Sexual identity/ transgender identity</w:t>
            </w:r>
          </w:p>
        </w:tc>
        <w:tc>
          <w:tcPr>
            <w:tcW w:w="2306" w:type="dxa"/>
          </w:tcPr>
          <w:p w14:paraId="312A1D29" w14:textId="451123E0" w:rsidR="00931A5B" w:rsidRPr="00786C6C" w:rsidRDefault="00C84562" w:rsidP="00931A5B">
            <w:pPr>
              <w:rPr>
                <w:sz w:val="20"/>
                <w:szCs w:val="20"/>
              </w:rPr>
            </w:pPr>
            <w:r w:rsidRPr="00786C6C">
              <w:rPr>
                <w:sz w:val="20"/>
                <w:szCs w:val="20"/>
              </w:rPr>
              <w:t>Gender identity/gender expression</w:t>
            </w:r>
          </w:p>
        </w:tc>
        <w:tc>
          <w:tcPr>
            <w:tcW w:w="3292" w:type="dxa"/>
          </w:tcPr>
          <w:p w14:paraId="37AD790C" w14:textId="67CE170B" w:rsidR="00931A5B" w:rsidRPr="00786C6C" w:rsidRDefault="00C84562" w:rsidP="00931A5B">
            <w:pPr>
              <w:rPr>
                <w:sz w:val="20"/>
                <w:szCs w:val="20"/>
              </w:rPr>
            </w:pPr>
            <w:r w:rsidRPr="00786C6C">
              <w:rPr>
                <w:sz w:val="20"/>
                <w:szCs w:val="20"/>
              </w:rPr>
              <w:t>Gender identity is one’s internal sense of gender. Gender expression is how a person outwardly expresses their gender. (Terms are not interchangeable.)</w:t>
            </w:r>
          </w:p>
        </w:tc>
        <w:tc>
          <w:tcPr>
            <w:tcW w:w="2551" w:type="dxa"/>
          </w:tcPr>
          <w:p w14:paraId="1509A252" w14:textId="115FC0BF" w:rsidR="00931A5B" w:rsidRPr="00786C6C" w:rsidRDefault="00C84562" w:rsidP="00931A5B">
            <w:pPr>
              <w:rPr>
                <w:sz w:val="20"/>
                <w:szCs w:val="20"/>
              </w:rPr>
            </w:pPr>
            <w:r w:rsidRPr="00786C6C">
              <w:rPr>
                <w:sz w:val="20"/>
                <w:szCs w:val="20"/>
              </w:rPr>
              <w:t>Many transgender people identify as male or female and not simply transgender. Pronouns express this identity: He/him; She/her; They/them.</w:t>
            </w:r>
          </w:p>
        </w:tc>
      </w:tr>
      <w:tr w:rsidR="00B41C5F" w:rsidRPr="00786C6C" w14:paraId="7A0EEEE5" w14:textId="77777777" w:rsidTr="00B41C5F">
        <w:tc>
          <w:tcPr>
            <w:tcW w:w="3050" w:type="dxa"/>
          </w:tcPr>
          <w:p w14:paraId="28225A88" w14:textId="34844E96" w:rsidR="00931A5B" w:rsidRPr="00786C6C" w:rsidRDefault="00C84562" w:rsidP="00931A5B">
            <w:pPr>
              <w:rPr>
                <w:sz w:val="20"/>
                <w:szCs w:val="20"/>
              </w:rPr>
            </w:pPr>
            <w:r w:rsidRPr="00786C6C">
              <w:rPr>
                <w:sz w:val="20"/>
                <w:szCs w:val="20"/>
              </w:rPr>
              <w:t>Sexual Preference/Gay lifestyle/homosexual lifestyle/same-sex attractions/sexual identity</w:t>
            </w:r>
          </w:p>
        </w:tc>
        <w:tc>
          <w:tcPr>
            <w:tcW w:w="2306" w:type="dxa"/>
          </w:tcPr>
          <w:p w14:paraId="48F7DEDC" w14:textId="06CBD81D" w:rsidR="00931A5B" w:rsidRPr="00786C6C" w:rsidRDefault="00C84562" w:rsidP="00931A5B">
            <w:pPr>
              <w:rPr>
                <w:sz w:val="20"/>
                <w:szCs w:val="20"/>
              </w:rPr>
            </w:pPr>
            <w:r w:rsidRPr="00786C6C">
              <w:rPr>
                <w:sz w:val="20"/>
                <w:szCs w:val="20"/>
              </w:rPr>
              <w:t>sexual orientation</w:t>
            </w:r>
          </w:p>
        </w:tc>
        <w:tc>
          <w:tcPr>
            <w:tcW w:w="3292" w:type="dxa"/>
          </w:tcPr>
          <w:p w14:paraId="682D7463" w14:textId="225E18A3" w:rsidR="00931A5B" w:rsidRPr="00786C6C" w:rsidRDefault="00C84562" w:rsidP="00931A5B">
            <w:pPr>
              <w:rPr>
                <w:sz w:val="20"/>
                <w:szCs w:val="20"/>
              </w:rPr>
            </w:pPr>
            <w:r w:rsidRPr="00786C6C">
              <w:rPr>
                <w:sz w:val="20"/>
                <w:szCs w:val="20"/>
              </w:rPr>
              <w:t>“Sexual preference” is used by anti-gay activists to suggest that being gay is a choice; therefore, being gay can be changed. Using “lifestyle” insinuates much the same and stigmatizes gay people suggesting their lives should be viewed strictly as sexual.</w:t>
            </w:r>
          </w:p>
        </w:tc>
        <w:tc>
          <w:tcPr>
            <w:tcW w:w="2551" w:type="dxa"/>
          </w:tcPr>
          <w:p w14:paraId="32D6EB55" w14:textId="77777777" w:rsidR="00931A5B" w:rsidRPr="00786C6C" w:rsidRDefault="00931A5B" w:rsidP="00931A5B">
            <w:pPr>
              <w:rPr>
                <w:sz w:val="20"/>
                <w:szCs w:val="20"/>
              </w:rPr>
            </w:pPr>
          </w:p>
        </w:tc>
      </w:tr>
      <w:tr w:rsidR="00B41C5F" w:rsidRPr="00786C6C" w14:paraId="5BB0D7CE" w14:textId="77777777" w:rsidTr="00B41C5F">
        <w:tc>
          <w:tcPr>
            <w:tcW w:w="3050" w:type="dxa"/>
          </w:tcPr>
          <w:p w14:paraId="29EFD149" w14:textId="324137AA" w:rsidR="00931A5B" w:rsidRPr="00786C6C" w:rsidRDefault="00C84562" w:rsidP="00931A5B">
            <w:pPr>
              <w:rPr>
                <w:sz w:val="20"/>
                <w:szCs w:val="20"/>
              </w:rPr>
            </w:pPr>
            <w:r w:rsidRPr="00786C6C">
              <w:rPr>
                <w:sz w:val="20"/>
                <w:szCs w:val="20"/>
              </w:rPr>
              <w:t>Transgendered/ a transgender (n.)/ transgenders (n.)/ transvestite/tranny</w:t>
            </w:r>
          </w:p>
        </w:tc>
        <w:tc>
          <w:tcPr>
            <w:tcW w:w="2306" w:type="dxa"/>
          </w:tcPr>
          <w:p w14:paraId="703CAE5D" w14:textId="7136E279" w:rsidR="00931A5B" w:rsidRPr="00786C6C" w:rsidRDefault="00C84562" w:rsidP="00931A5B">
            <w:pPr>
              <w:rPr>
                <w:sz w:val="20"/>
                <w:szCs w:val="20"/>
              </w:rPr>
            </w:pPr>
            <w:r w:rsidRPr="00786C6C">
              <w:rPr>
                <w:sz w:val="20"/>
                <w:szCs w:val="20"/>
              </w:rPr>
              <w:t>Transgender</w:t>
            </w:r>
          </w:p>
        </w:tc>
        <w:tc>
          <w:tcPr>
            <w:tcW w:w="3292" w:type="dxa"/>
          </w:tcPr>
          <w:p w14:paraId="62FA259C" w14:textId="4DCDAEC4" w:rsidR="00931A5B" w:rsidRPr="00786C6C" w:rsidRDefault="00C84562" w:rsidP="00931A5B">
            <w:pPr>
              <w:rPr>
                <w:sz w:val="20"/>
                <w:szCs w:val="20"/>
              </w:rPr>
            </w:pPr>
            <w:r w:rsidRPr="00786C6C">
              <w:rPr>
                <w:sz w:val="20"/>
                <w:szCs w:val="20"/>
              </w:rPr>
              <w:t>Transgender is an adjective, not a noun. “Trans” as shorthand is often used within the LGBTQ+ community, but not generally understood by general audiences.</w:t>
            </w:r>
          </w:p>
        </w:tc>
        <w:tc>
          <w:tcPr>
            <w:tcW w:w="2551" w:type="dxa"/>
          </w:tcPr>
          <w:p w14:paraId="3181CD61" w14:textId="4BFE63CD" w:rsidR="00931A5B" w:rsidRPr="00786C6C" w:rsidRDefault="00C84562" w:rsidP="00931A5B">
            <w:pPr>
              <w:rPr>
                <w:sz w:val="20"/>
                <w:szCs w:val="20"/>
              </w:rPr>
            </w:pPr>
            <w:r w:rsidRPr="00786C6C">
              <w:rPr>
                <w:sz w:val="20"/>
                <w:szCs w:val="20"/>
              </w:rPr>
              <w:t>Always use a transgender person’s chosen name. Also, a person who identifies as a certain gender should be referred to using pronouns consistent with that gender (he/him, she/her, they/them).</w:t>
            </w:r>
          </w:p>
        </w:tc>
      </w:tr>
      <w:tr w:rsidR="00B41C5F" w:rsidRPr="00786C6C" w14:paraId="2C8C5DBA" w14:textId="77777777" w:rsidTr="00F51BF0">
        <w:trPr>
          <w:trHeight w:val="858"/>
        </w:trPr>
        <w:tc>
          <w:tcPr>
            <w:tcW w:w="3050" w:type="dxa"/>
          </w:tcPr>
          <w:p w14:paraId="2A53E450" w14:textId="30318BE4" w:rsidR="00931A5B" w:rsidRPr="00786C6C" w:rsidRDefault="00C84562" w:rsidP="00931A5B">
            <w:pPr>
              <w:rPr>
                <w:sz w:val="20"/>
                <w:szCs w:val="20"/>
              </w:rPr>
            </w:pPr>
            <w:r w:rsidRPr="00786C6C">
              <w:rPr>
                <w:sz w:val="20"/>
                <w:szCs w:val="20"/>
              </w:rPr>
              <w:t>Unmanned aerial vehicles</w:t>
            </w:r>
          </w:p>
        </w:tc>
        <w:tc>
          <w:tcPr>
            <w:tcW w:w="2306" w:type="dxa"/>
          </w:tcPr>
          <w:p w14:paraId="6F6A88CE" w14:textId="4D5407F5" w:rsidR="00931A5B" w:rsidRPr="00786C6C" w:rsidRDefault="00C84562" w:rsidP="00931A5B">
            <w:pPr>
              <w:rPr>
                <w:sz w:val="20"/>
                <w:szCs w:val="20"/>
              </w:rPr>
            </w:pPr>
            <w:r w:rsidRPr="00786C6C">
              <w:rPr>
                <w:sz w:val="20"/>
                <w:szCs w:val="20"/>
              </w:rPr>
              <w:t>Autonomous aerial vehicles</w:t>
            </w:r>
          </w:p>
        </w:tc>
        <w:tc>
          <w:tcPr>
            <w:tcW w:w="3292" w:type="dxa"/>
          </w:tcPr>
          <w:p w14:paraId="650F4C6E" w14:textId="77777777" w:rsidR="00931A5B" w:rsidRPr="00786C6C" w:rsidRDefault="00931A5B" w:rsidP="00931A5B">
            <w:pPr>
              <w:rPr>
                <w:sz w:val="20"/>
                <w:szCs w:val="20"/>
              </w:rPr>
            </w:pPr>
          </w:p>
        </w:tc>
        <w:tc>
          <w:tcPr>
            <w:tcW w:w="2551" w:type="dxa"/>
          </w:tcPr>
          <w:p w14:paraId="16F41312" w14:textId="1AA1B1DF" w:rsidR="00931A5B" w:rsidRPr="00786C6C" w:rsidRDefault="00C84562" w:rsidP="00931A5B">
            <w:pPr>
              <w:rPr>
                <w:sz w:val="20"/>
                <w:szCs w:val="20"/>
              </w:rPr>
            </w:pPr>
            <w:r w:rsidRPr="00786C6C">
              <w:rPr>
                <w:sz w:val="20"/>
                <w:szCs w:val="20"/>
              </w:rPr>
              <w:t>Preferred term from IEEE Thesaurus</w:t>
            </w:r>
          </w:p>
        </w:tc>
      </w:tr>
      <w:tr w:rsidR="00B41C5F" w:rsidRPr="00786C6C" w14:paraId="119D59B8" w14:textId="77777777" w:rsidTr="00F51BF0">
        <w:trPr>
          <w:trHeight w:val="842"/>
        </w:trPr>
        <w:tc>
          <w:tcPr>
            <w:tcW w:w="3050" w:type="dxa"/>
          </w:tcPr>
          <w:p w14:paraId="1FF4674A" w14:textId="1366EF2B" w:rsidR="00931A5B" w:rsidRPr="00786C6C" w:rsidRDefault="00C84562" w:rsidP="00931A5B">
            <w:pPr>
              <w:rPr>
                <w:sz w:val="20"/>
                <w:szCs w:val="20"/>
              </w:rPr>
            </w:pPr>
            <w:r w:rsidRPr="00786C6C">
              <w:rPr>
                <w:sz w:val="20"/>
                <w:szCs w:val="20"/>
              </w:rPr>
              <w:t>Unmanned automobiles or cars</w:t>
            </w:r>
          </w:p>
        </w:tc>
        <w:tc>
          <w:tcPr>
            <w:tcW w:w="2306" w:type="dxa"/>
          </w:tcPr>
          <w:p w14:paraId="7E2B36A1" w14:textId="463347A4" w:rsidR="00931A5B" w:rsidRPr="00786C6C" w:rsidRDefault="00C84562" w:rsidP="00931A5B">
            <w:pPr>
              <w:rPr>
                <w:sz w:val="20"/>
                <w:szCs w:val="20"/>
              </w:rPr>
            </w:pPr>
            <w:r w:rsidRPr="00786C6C">
              <w:rPr>
                <w:sz w:val="20"/>
                <w:szCs w:val="20"/>
              </w:rPr>
              <w:t>Autonomous automobiles</w:t>
            </w:r>
          </w:p>
        </w:tc>
        <w:tc>
          <w:tcPr>
            <w:tcW w:w="3292" w:type="dxa"/>
          </w:tcPr>
          <w:p w14:paraId="5ADBB9E5" w14:textId="77777777" w:rsidR="00931A5B" w:rsidRPr="00786C6C" w:rsidRDefault="00931A5B" w:rsidP="00931A5B">
            <w:pPr>
              <w:rPr>
                <w:sz w:val="20"/>
                <w:szCs w:val="20"/>
              </w:rPr>
            </w:pPr>
          </w:p>
        </w:tc>
        <w:tc>
          <w:tcPr>
            <w:tcW w:w="2551" w:type="dxa"/>
          </w:tcPr>
          <w:p w14:paraId="3A776653" w14:textId="0C958867" w:rsidR="00931A5B" w:rsidRPr="00786C6C" w:rsidRDefault="00C84562" w:rsidP="00931A5B">
            <w:pPr>
              <w:rPr>
                <w:sz w:val="20"/>
                <w:szCs w:val="20"/>
              </w:rPr>
            </w:pPr>
            <w:r w:rsidRPr="00786C6C">
              <w:rPr>
                <w:sz w:val="20"/>
                <w:szCs w:val="20"/>
              </w:rPr>
              <w:t>Preferred term from IEEE Thesaurus</w:t>
            </w:r>
          </w:p>
        </w:tc>
      </w:tr>
      <w:tr w:rsidR="00B41C5F" w:rsidRPr="00786C6C" w14:paraId="0678F601" w14:textId="77777777" w:rsidTr="00F51BF0">
        <w:trPr>
          <w:trHeight w:val="982"/>
        </w:trPr>
        <w:tc>
          <w:tcPr>
            <w:tcW w:w="3050" w:type="dxa"/>
          </w:tcPr>
          <w:p w14:paraId="5C8799F8" w14:textId="3F61AEF1" w:rsidR="00931A5B" w:rsidRPr="00786C6C" w:rsidRDefault="00C84562" w:rsidP="00931A5B">
            <w:pPr>
              <w:rPr>
                <w:sz w:val="20"/>
                <w:szCs w:val="20"/>
              </w:rPr>
            </w:pPr>
            <w:r w:rsidRPr="00786C6C">
              <w:rPr>
                <w:sz w:val="20"/>
                <w:szCs w:val="20"/>
              </w:rPr>
              <w:lastRenderedPageBreak/>
              <w:t>Unmanned underwater vehicles</w:t>
            </w:r>
          </w:p>
        </w:tc>
        <w:tc>
          <w:tcPr>
            <w:tcW w:w="2306" w:type="dxa"/>
          </w:tcPr>
          <w:p w14:paraId="592AACCA" w14:textId="5E33B469" w:rsidR="00931A5B" w:rsidRPr="00786C6C" w:rsidRDefault="00C84562" w:rsidP="00931A5B">
            <w:pPr>
              <w:rPr>
                <w:sz w:val="20"/>
                <w:szCs w:val="20"/>
              </w:rPr>
            </w:pPr>
            <w:r w:rsidRPr="00786C6C">
              <w:rPr>
                <w:sz w:val="20"/>
                <w:szCs w:val="20"/>
              </w:rPr>
              <w:t>Autonomous underwater vehicles</w:t>
            </w:r>
          </w:p>
        </w:tc>
        <w:tc>
          <w:tcPr>
            <w:tcW w:w="3292" w:type="dxa"/>
          </w:tcPr>
          <w:p w14:paraId="55339839" w14:textId="77777777" w:rsidR="00931A5B" w:rsidRPr="00786C6C" w:rsidRDefault="00931A5B" w:rsidP="00931A5B">
            <w:pPr>
              <w:rPr>
                <w:sz w:val="20"/>
                <w:szCs w:val="20"/>
              </w:rPr>
            </w:pPr>
          </w:p>
        </w:tc>
        <w:tc>
          <w:tcPr>
            <w:tcW w:w="2551" w:type="dxa"/>
          </w:tcPr>
          <w:p w14:paraId="3763B08E" w14:textId="0884DF05" w:rsidR="00931A5B" w:rsidRPr="00786C6C" w:rsidRDefault="00C84562" w:rsidP="00931A5B">
            <w:pPr>
              <w:rPr>
                <w:sz w:val="20"/>
                <w:szCs w:val="20"/>
              </w:rPr>
            </w:pPr>
            <w:r w:rsidRPr="00786C6C">
              <w:rPr>
                <w:sz w:val="20"/>
                <w:szCs w:val="20"/>
              </w:rPr>
              <w:t>Preferred term from IEEE Thesaurus</w:t>
            </w:r>
          </w:p>
        </w:tc>
      </w:tr>
      <w:tr w:rsidR="00B41C5F" w:rsidRPr="00786C6C" w14:paraId="471F7B28" w14:textId="77777777" w:rsidTr="00F51BF0">
        <w:trPr>
          <w:trHeight w:val="840"/>
        </w:trPr>
        <w:tc>
          <w:tcPr>
            <w:tcW w:w="3050" w:type="dxa"/>
          </w:tcPr>
          <w:p w14:paraId="6982439A" w14:textId="08708756" w:rsidR="00931A5B" w:rsidRPr="00786C6C" w:rsidRDefault="00C84562" w:rsidP="00931A5B">
            <w:pPr>
              <w:rPr>
                <w:sz w:val="20"/>
                <w:szCs w:val="20"/>
              </w:rPr>
            </w:pPr>
            <w:r w:rsidRPr="00786C6C">
              <w:rPr>
                <w:sz w:val="20"/>
                <w:szCs w:val="20"/>
              </w:rPr>
              <w:t>Unmanned vehicles</w:t>
            </w:r>
          </w:p>
        </w:tc>
        <w:tc>
          <w:tcPr>
            <w:tcW w:w="2306" w:type="dxa"/>
          </w:tcPr>
          <w:p w14:paraId="45685079" w14:textId="34DDA5CF" w:rsidR="00931A5B" w:rsidRPr="00786C6C" w:rsidRDefault="00C84562" w:rsidP="00931A5B">
            <w:pPr>
              <w:rPr>
                <w:sz w:val="20"/>
                <w:szCs w:val="20"/>
              </w:rPr>
            </w:pPr>
            <w:r w:rsidRPr="00786C6C">
              <w:rPr>
                <w:sz w:val="20"/>
                <w:szCs w:val="20"/>
              </w:rPr>
              <w:t>Autonomous vehicles</w:t>
            </w:r>
          </w:p>
        </w:tc>
        <w:tc>
          <w:tcPr>
            <w:tcW w:w="3292" w:type="dxa"/>
          </w:tcPr>
          <w:p w14:paraId="4DE41084" w14:textId="77777777" w:rsidR="00931A5B" w:rsidRPr="00786C6C" w:rsidRDefault="00931A5B" w:rsidP="00931A5B">
            <w:pPr>
              <w:rPr>
                <w:sz w:val="20"/>
                <w:szCs w:val="20"/>
              </w:rPr>
            </w:pPr>
          </w:p>
        </w:tc>
        <w:tc>
          <w:tcPr>
            <w:tcW w:w="2551" w:type="dxa"/>
          </w:tcPr>
          <w:p w14:paraId="415A7AA2" w14:textId="3F35DBAD" w:rsidR="00931A5B" w:rsidRPr="00786C6C" w:rsidRDefault="00C84562" w:rsidP="00931A5B">
            <w:pPr>
              <w:rPr>
                <w:sz w:val="20"/>
                <w:szCs w:val="20"/>
              </w:rPr>
            </w:pPr>
            <w:r w:rsidRPr="00786C6C">
              <w:rPr>
                <w:sz w:val="20"/>
                <w:szCs w:val="20"/>
              </w:rPr>
              <w:t>Preferred term from IEEE Thesaurus</w:t>
            </w:r>
          </w:p>
        </w:tc>
      </w:tr>
      <w:tr w:rsidR="00B41C5F" w:rsidRPr="00786C6C" w14:paraId="2824A74C" w14:textId="77777777" w:rsidTr="00F51BF0">
        <w:trPr>
          <w:trHeight w:val="838"/>
        </w:trPr>
        <w:tc>
          <w:tcPr>
            <w:tcW w:w="3050" w:type="dxa"/>
          </w:tcPr>
          <w:p w14:paraId="1DC4935C" w14:textId="0CE8C348" w:rsidR="00931A5B" w:rsidRPr="00786C6C" w:rsidRDefault="00C84562" w:rsidP="00931A5B">
            <w:pPr>
              <w:rPr>
                <w:sz w:val="20"/>
                <w:szCs w:val="20"/>
              </w:rPr>
            </w:pPr>
            <w:r w:rsidRPr="00786C6C">
              <w:rPr>
                <w:sz w:val="20"/>
                <w:szCs w:val="20"/>
              </w:rPr>
              <w:t>Unsuccessful suicide</w:t>
            </w:r>
          </w:p>
        </w:tc>
        <w:tc>
          <w:tcPr>
            <w:tcW w:w="2306" w:type="dxa"/>
          </w:tcPr>
          <w:p w14:paraId="1956047E" w14:textId="2B7EBA15" w:rsidR="00931A5B" w:rsidRPr="00786C6C" w:rsidRDefault="00C84562" w:rsidP="00931A5B">
            <w:pPr>
              <w:rPr>
                <w:sz w:val="20"/>
                <w:szCs w:val="20"/>
              </w:rPr>
            </w:pPr>
            <w:r w:rsidRPr="00786C6C">
              <w:rPr>
                <w:sz w:val="20"/>
                <w:szCs w:val="20"/>
              </w:rPr>
              <w:t>Attempted suicide</w:t>
            </w:r>
          </w:p>
        </w:tc>
        <w:tc>
          <w:tcPr>
            <w:tcW w:w="3292" w:type="dxa"/>
          </w:tcPr>
          <w:p w14:paraId="13F727F9" w14:textId="77777777" w:rsidR="00931A5B" w:rsidRPr="00786C6C" w:rsidRDefault="00931A5B" w:rsidP="00931A5B">
            <w:pPr>
              <w:rPr>
                <w:sz w:val="20"/>
                <w:szCs w:val="20"/>
              </w:rPr>
            </w:pPr>
          </w:p>
        </w:tc>
        <w:tc>
          <w:tcPr>
            <w:tcW w:w="2551" w:type="dxa"/>
          </w:tcPr>
          <w:p w14:paraId="0BC538E7" w14:textId="77777777" w:rsidR="00931A5B" w:rsidRPr="00786C6C" w:rsidRDefault="00931A5B" w:rsidP="00931A5B">
            <w:pPr>
              <w:rPr>
                <w:sz w:val="20"/>
                <w:szCs w:val="20"/>
              </w:rPr>
            </w:pPr>
          </w:p>
        </w:tc>
      </w:tr>
      <w:tr w:rsidR="00B41C5F" w:rsidRPr="00786C6C" w14:paraId="5029A221" w14:textId="77777777" w:rsidTr="00B41C5F">
        <w:tc>
          <w:tcPr>
            <w:tcW w:w="3050" w:type="dxa"/>
          </w:tcPr>
          <w:p w14:paraId="2132DCFD" w14:textId="2525A750" w:rsidR="00931A5B" w:rsidRPr="00786C6C" w:rsidRDefault="00C84562" w:rsidP="00931A5B">
            <w:pPr>
              <w:rPr>
                <w:sz w:val="20"/>
                <w:szCs w:val="20"/>
              </w:rPr>
            </w:pPr>
            <w:r w:rsidRPr="00786C6C">
              <w:rPr>
                <w:sz w:val="20"/>
                <w:szCs w:val="20"/>
              </w:rPr>
              <w:t>Wheelchair-bound</w:t>
            </w:r>
          </w:p>
        </w:tc>
        <w:tc>
          <w:tcPr>
            <w:tcW w:w="2306" w:type="dxa"/>
          </w:tcPr>
          <w:p w14:paraId="3754893D" w14:textId="49ABDD4A" w:rsidR="00931A5B" w:rsidRPr="00786C6C" w:rsidRDefault="00C84562" w:rsidP="00931A5B">
            <w:pPr>
              <w:rPr>
                <w:sz w:val="20"/>
                <w:szCs w:val="20"/>
              </w:rPr>
            </w:pPr>
            <w:r w:rsidRPr="00786C6C">
              <w:rPr>
                <w:sz w:val="20"/>
                <w:szCs w:val="20"/>
              </w:rPr>
              <w:t>Wheelchair user/Uses a wheelchair</w:t>
            </w:r>
          </w:p>
        </w:tc>
        <w:tc>
          <w:tcPr>
            <w:tcW w:w="3292" w:type="dxa"/>
          </w:tcPr>
          <w:p w14:paraId="4121ACE5" w14:textId="77777777" w:rsidR="00931A5B" w:rsidRPr="00786C6C" w:rsidRDefault="00931A5B" w:rsidP="00931A5B">
            <w:pPr>
              <w:rPr>
                <w:sz w:val="20"/>
                <w:szCs w:val="20"/>
              </w:rPr>
            </w:pPr>
          </w:p>
        </w:tc>
        <w:tc>
          <w:tcPr>
            <w:tcW w:w="2551" w:type="dxa"/>
          </w:tcPr>
          <w:p w14:paraId="43F2AED3" w14:textId="77777777" w:rsidR="00931A5B" w:rsidRPr="00786C6C" w:rsidRDefault="00931A5B" w:rsidP="00931A5B">
            <w:pPr>
              <w:rPr>
                <w:sz w:val="20"/>
                <w:szCs w:val="20"/>
              </w:rPr>
            </w:pPr>
          </w:p>
        </w:tc>
      </w:tr>
      <w:tr w:rsidR="00B41C5F" w:rsidRPr="00786C6C" w14:paraId="1DD1E818" w14:textId="77777777" w:rsidTr="00F51BF0">
        <w:trPr>
          <w:trHeight w:val="876"/>
        </w:trPr>
        <w:tc>
          <w:tcPr>
            <w:tcW w:w="3050" w:type="dxa"/>
          </w:tcPr>
          <w:p w14:paraId="683D9EC8" w14:textId="5772E844" w:rsidR="00931A5B" w:rsidRPr="00786C6C" w:rsidRDefault="00C84562" w:rsidP="00931A5B">
            <w:pPr>
              <w:rPr>
                <w:sz w:val="20"/>
                <w:szCs w:val="20"/>
              </w:rPr>
            </w:pPr>
            <w:r w:rsidRPr="00786C6C">
              <w:rPr>
                <w:sz w:val="20"/>
                <w:szCs w:val="20"/>
              </w:rPr>
              <w:t>White box</w:t>
            </w:r>
          </w:p>
        </w:tc>
        <w:tc>
          <w:tcPr>
            <w:tcW w:w="2306" w:type="dxa"/>
          </w:tcPr>
          <w:p w14:paraId="1F0153D9" w14:textId="2D6798F6" w:rsidR="00931A5B" w:rsidRPr="00786C6C" w:rsidRDefault="00C84562" w:rsidP="00931A5B">
            <w:pPr>
              <w:rPr>
                <w:sz w:val="20"/>
                <w:szCs w:val="20"/>
              </w:rPr>
            </w:pPr>
            <w:r w:rsidRPr="00786C6C">
              <w:rPr>
                <w:sz w:val="20"/>
                <w:szCs w:val="20"/>
              </w:rPr>
              <w:t>Glass box</w:t>
            </w:r>
          </w:p>
        </w:tc>
        <w:tc>
          <w:tcPr>
            <w:tcW w:w="3292" w:type="dxa"/>
          </w:tcPr>
          <w:p w14:paraId="10FA629C" w14:textId="77777777" w:rsidR="00931A5B" w:rsidRPr="00786C6C" w:rsidRDefault="00931A5B" w:rsidP="00931A5B">
            <w:pPr>
              <w:rPr>
                <w:sz w:val="20"/>
                <w:szCs w:val="20"/>
              </w:rPr>
            </w:pPr>
          </w:p>
        </w:tc>
        <w:tc>
          <w:tcPr>
            <w:tcW w:w="2551" w:type="dxa"/>
          </w:tcPr>
          <w:p w14:paraId="70A5A5AE" w14:textId="402C0CDD" w:rsidR="00931A5B" w:rsidRPr="00786C6C" w:rsidRDefault="00C84562" w:rsidP="00931A5B">
            <w:pPr>
              <w:rPr>
                <w:sz w:val="20"/>
                <w:szCs w:val="20"/>
              </w:rPr>
            </w:pPr>
            <w:r w:rsidRPr="00786C6C">
              <w:rPr>
                <w:sz w:val="20"/>
                <w:szCs w:val="20"/>
              </w:rPr>
              <w:t>Preferred term from IEEE Thesaurus</w:t>
            </w:r>
          </w:p>
        </w:tc>
      </w:tr>
      <w:tr w:rsidR="00B41C5F" w:rsidRPr="00786C6C" w14:paraId="3DB5EFDF" w14:textId="77777777" w:rsidTr="00B41C5F">
        <w:tc>
          <w:tcPr>
            <w:tcW w:w="3050" w:type="dxa"/>
          </w:tcPr>
          <w:p w14:paraId="18C19924" w14:textId="762EA19A" w:rsidR="00931A5B" w:rsidRPr="00786C6C" w:rsidRDefault="00C84562" w:rsidP="00931A5B">
            <w:pPr>
              <w:rPr>
                <w:sz w:val="20"/>
                <w:szCs w:val="20"/>
              </w:rPr>
            </w:pPr>
            <w:r w:rsidRPr="00786C6C">
              <w:rPr>
                <w:sz w:val="20"/>
                <w:szCs w:val="20"/>
              </w:rPr>
              <w:t xml:space="preserve">Whitelist; </w:t>
            </w:r>
            <w:proofErr w:type="gramStart"/>
            <w:r w:rsidRPr="00786C6C">
              <w:rPr>
                <w:sz w:val="20"/>
                <w:szCs w:val="20"/>
              </w:rPr>
              <w:t>white list</w:t>
            </w:r>
            <w:proofErr w:type="gramEnd"/>
          </w:p>
        </w:tc>
        <w:tc>
          <w:tcPr>
            <w:tcW w:w="2306" w:type="dxa"/>
          </w:tcPr>
          <w:p w14:paraId="561CCB4D" w14:textId="45168C71" w:rsidR="00931A5B" w:rsidRPr="00786C6C" w:rsidRDefault="00C84562" w:rsidP="00931A5B">
            <w:pPr>
              <w:rPr>
                <w:sz w:val="20"/>
                <w:szCs w:val="20"/>
              </w:rPr>
            </w:pPr>
            <w:r w:rsidRPr="00786C6C">
              <w:rPr>
                <w:sz w:val="20"/>
                <w:szCs w:val="20"/>
              </w:rPr>
              <w:t>Access list</w:t>
            </w:r>
          </w:p>
        </w:tc>
        <w:tc>
          <w:tcPr>
            <w:tcW w:w="3292" w:type="dxa"/>
          </w:tcPr>
          <w:p w14:paraId="29B01EEB" w14:textId="0631D224" w:rsidR="00931A5B" w:rsidRPr="00786C6C" w:rsidRDefault="00C84562" w:rsidP="00931A5B">
            <w:pPr>
              <w:rPr>
                <w:sz w:val="20"/>
                <w:szCs w:val="20"/>
              </w:rPr>
            </w:pPr>
            <w:r w:rsidRPr="00786C6C">
              <w:rPr>
                <w:sz w:val="20"/>
                <w:szCs w:val="20"/>
              </w:rPr>
              <w:t xml:space="preserve">A whitelist (or </w:t>
            </w:r>
            <w:proofErr w:type="gramStart"/>
            <w:r w:rsidRPr="00786C6C">
              <w:rPr>
                <w:sz w:val="20"/>
                <w:szCs w:val="20"/>
              </w:rPr>
              <w:t>white list</w:t>
            </w:r>
            <w:proofErr w:type="gramEnd"/>
            <w:r w:rsidRPr="00786C6C">
              <w:rPr>
                <w:sz w:val="20"/>
                <w:szCs w:val="20"/>
              </w:rPr>
              <w:t>) is a list or register of entities that, for one reason or another, are being provided a particular privilege, service, mobility, access or recognition. This can be a controversial view for some.</w:t>
            </w:r>
          </w:p>
        </w:tc>
        <w:tc>
          <w:tcPr>
            <w:tcW w:w="2551" w:type="dxa"/>
          </w:tcPr>
          <w:p w14:paraId="649EDDF5" w14:textId="3D076E8E" w:rsidR="00931A5B" w:rsidRPr="00786C6C" w:rsidRDefault="00C84562" w:rsidP="00931A5B">
            <w:pPr>
              <w:rPr>
                <w:sz w:val="20"/>
                <w:szCs w:val="20"/>
              </w:rPr>
            </w:pPr>
            <w:r w:rsidRPr="00786C6C">
              <w:rPr>
                <w:sz w:val="20"/>
                <w:szCs w:val="20"/>
              </w:rPr>
              <w:t>Preferred term from IEEE Thesaurus</w:t>
            </w:r>
          </w:p>
        </w:tc>
      </w:tr>
    </w:tbl>
    <w:p w14:paraId="6509FB80" w14:textId="359BE24B" w:rsidR="00931A5B" w:rsidRPr="00786C6C" w:rsidRDefault="00D668BF" w:rsidP="00D668BF">
      <w:pPr>
        <w:rPr>
          <w:sz w:val="20"/>
          <w:szCs w:val="20"/>
        </w:rPr>
      </w:pPr>
      <w:r w:rsidRPr="00786C6C">
        <w:rPr>
          <w:sz w:val="20"/>
          <w:szCs w:val="20"/>
        </w:rPr>
        <w:t xml:space="preserve">(Original Source: </w:t>
      </w:r>
      <w:hyperlink r:id="rId22" w:history="1">
        <w:r w:rsidRPr="00786C6C">
          <w:rPr>
            <w:rStyle w:val="Hyperlink"/>
            <w:sz w:val="20"/>
            <w:szCs w:val="20"/>
          </w:rPr>
          <w:t>IEEE Editorial Style Manual for Authors</w:t>
        </w:r>
      </w:hyperlink>
      <w:r w:rsidRPr="00786C6C">
        <w:rPr>
          <w:rStyle w:val="Hyperlink"/>
          <w:sz w:val="20"/>
          <w:szCs w:val="20"/>
        </w:rPr>
        <w:t>)</w:t>
      </w:r>
    </w:p>
    <w:sectPr w:rsidR="00931A5B" w:rsidRPr="00786C6C" w:rsidSect="00FD5599">
      <w:headerReference w:type="default" r:id="rId23"/>
      <w:head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5A27A" w14:textId="77777777" w:rsidR="00DF6208" w:rsidRDefault="00DF6208" w:rsidP="00FD5599">
      <w:pPr>
        <w:spacing w:after="0" w:line="240" w:lineRule="auto"/>
      </w:pPr>
      <w:r>
        <w:separator/>
      </w:r>
    </w:p>
  </w:endnote>
  <w:endnote w:type="continuationSeparator" w:id="0">
    <w:p w14:paraId="3BD35E4D" w14:textId="77777777" w:rsidR="00DF6208" w:rsidRDefault="00DF6208" w:rsidP="00FD5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669A9" w14:textId="77777777" w:rsidR="00DF6208" w:rsidRDefault="00DF6208" w:rsidP="00FD5599">
      <w:pPr>
        <w:spacing w:after="0" w:line="240" w:lineRule="auto"/>
      </w:pPr>
      <w:r>
        <w:separator/>
      </w:r>
    </w:p>
  </w:footnote>
  <w:footnote w:type="continuationSeparator" w:id="0">
    <w:p w14:paraId="5DDD109E" w14:textId="77777777" w:rsidR="00DF6208" w:rsidRDefault="00DF6208" w:rsidP="00FD5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F7E9" w14:textId="77777777" w:rsidR="00FD5599" w:rsidRDefault="00FD5599" w:rsidP="00FD5599">
    <w:pPr>
      <w:pStyle w:val="Default"/>
      <w:rPr>
        <w:b/>
        <w:bCs/>
        <w:noProof/>
        <w:color w:val="2C2CB1"/>
        <w:sz w:val="28"/>
        <w:szCs w:val="28"/>
      </w:rPr>
    </w:pPr>
    <w:r w:rsidRPr="007113FE">
      <w:rPr>
        <w:noProof/>
      </w:rPr>
      <w:drawing>
        <wp:anchor distT="0" distB="0" distL="114300" distR="114300" simplePos="0" relativeHeight="251662336" behindDoc="0" locked="0" layoutInCell="1" allowOverlap="1" wp14:anchorId="38F15F75" wp14:editId="1EE7D05E">
          <wp:simplePos x="0" y="0"/>
          <wp:positionH relativeFrom="column">
            <wp:posOffset>-398290</wp:posOffset>
          </wp:positionH>
          <wp:positionV relativeFrom="paragraph">
            <wp:posOffset>264430</wp:posOffset>
          </wp:positionV>
          <wp:extent cx="873760" cy="850900"/>
          <wp:effectExtent l="0" t="0" r="2540" b="6350"/>
          <wp:wrapSquare wrapText="bothSides"/>
          <wp:docPr id="15578852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850900"/>
                  </a:xfrm>
                  <a:prstGeom prst="rect">
                    <a:avLst/>
                  </a:prstGeom>
                  <a:noFill/>
                  <a:ln>
                    <a:noFill/>
                  </a:ln>
                </pic:spPr>
              </pic:pic>
            </a:graphicData>
          </a:graphic>
        </wp:anchor>
      </w:drawing>
    </w:r>
  </w:p>
  <w:p w14:paraId="519D701F" w14:textId="77777777" w:rsidR="00FD5599" w:rsidRDefault="00FD5599" w:rsidP="00FD5599">
    <w:pPr>
      <w:pStyle w:val="Default"/>
      <w:rPr>
        <w:b/>
        <w:bCs/>
        <w:noProof/>
        <w:color w:val="2C2CB1"/>
        <w:sz w:val="28"/>
        <w:szCs w:val="28"/>
      </w:rPr>
    </w:pPr>
  </w:p>
  <w:p w14:paraId="1FE3443C" w14:textId="77777777" w:rsidR="00FD5599" w:rsidRDefault="00FD5599" w:rsidP="00FD5599">
    <w:pPr>
      <w:pStyle w:val="Default"/>
    </w:pPr>
    <w:r w:rsidRPr="007113FE">
      <w:rPr>
        <w:b/>
        <w:bCs/>
        <w:noProof/>
        <w:color w:val="2C2CB1"/>
        <w:sz w:val="28"/>
        <w:szCs w:val="28"/>
      </w:rPr>
      <w:drawing>
        <wp:anchor distT="0" distB="0" distL="114300" distR="114300" simplePos="0" relativeHeight="251663360" behindDoc="1" locked="0" layoutInCell="1" allowOverlap="1" wp14:anchorId="3E3156DA" wp14:editId="05DDC596">
          <wp:simplePos x="0" y="0"/>
          <wp:positionH relativeFrom="column">
            <wp:posOffset>5259516</wp:posOffset>
          </wp:positionH>
          <wp:positionV relativeFrom="paragraph">
            <wp:posOffset>25683</wp:posOffset>
          </wp:positionV>
          <wp:extent cx="1426210" cy="402590"/>
          <wp:effectExtent l="0" t="0" r="2540" b="0"/>
          <wp:wrapSquare wrapText="bothSides"/>
          <wp:docPr id="6247910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210" cy="402590"/>
                  </a:xfrm>
                  <a:prstGeom prst="rect">
                    <a:avLst/>
                  </a:prstGeom>
                  <a:noFill/>
                  <a:ln>
                    <a:noFill/>
                  </a:ln>
                </pic:spPr>
              </pic:pic>
            </a:graphicData>
          </a:graphic>
        </wp:anchor>
      </w:drawing>
    </w:r>
  </w:p>
  <w:p w14:paraId="6CBD65A5" w14:textId="77777777" w:rsidR="00FD5599" w:rsidRDefault="00FD5599" w:rsidP="00FD5599">
    <w:pPr>
      <w:pStyle w:val="Default"/>
    </w:pPr>
    <w:r>
      <w:t xml:space="preserve"> </w:t>
    </w:r>
    <w:proofErr w:type="gramStart"/>
    <w:r>
      <w:rPr>
        <w:b/>
        <w:bCs/>
        <w:color w:val="2C2CB1"/>
        <w:sz w:val="28"/>
        <w:szCs w:val="28"/>
      </w:rPr>
      <w:t>IEEE  TRANSACTIONS</w:t>
    </w:r>
    <w:proofErr w:type="gramEnd"/>
    <w:r>
      <w:rPr>
        <w:b/>
        <w:bCs/>
        <w:color w:val="2C2CB1"/>
        <w:sz w:val="28"/>
        <w:szCs w:val="28"/>
      </w:rPr>
      <w:t xml:space="preserve">  ON  POWER  ELECTRONICS</w:t>
    </w:r>
  </w:p>
  <w:p w14:paraId="0DA297CC" w14:textId="09B8EA7E" w:rsidR="00FD5599" w:rsidRDefault="00FD5599">
    <w:pPr>
      <w:pStyle w:val="Header"/>
    </w:pPr>
  </w:p>
  <w:p w14:paraId="20A86F74" w14:textId="77777777" w:rsidR="00FD5599" w:rsidRDefault="00FD5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5FC97" w14:textId="77777777" w:rsidR="00FD5599" w:rsidRDefault="00FD5599" w:rsidP="00FD5599">
    <w:pPr>
      <w:pStyle w:val="Default"/>
      <w:rPr>
        <w:b/>
        <w:bCs/>
        <w:noProof/>
        <w:color w:val="2C2CB1"/>
        <w:sz w:val="28"/>
        <w:szCs w:val="28"/>
      </w:rPr>
    </w:pPr>
    <w:r w:rsidRPr="007113FE">
      <w:rPr>
        <w:noProof/>
      </w:rPr>
      <w:drawing>
        <wp:anchor distT="0" distB="0" distL="114300" distR="114300" simplePos="0" relativeHeight="251659264" behindDoc="0" locked="0" layoutInCell="1" allowOverlap="1" wp14:anchorId="3D056C2C" wp14:editId="1413B7CB">
          <wp:simplePos x="0" y="0"/>
          <wp:positionH relativeFrom="column">
            <wp:posOffset>-398290</wp:posOffset>
          </wp:positionH>
          <wp:positionV relativeFrom="paragraph">
            <wp:posOffset>264430</wp:posOffset>
          </wp:positionV>
          <wp:extent cx="873760" cy="850900"/>
          <wp:effectExtent l="0" t="0" r="2540" b="6350"/>
          <wp:wrapSquare wrapText="bothSides"/>
          <wp:docPr id="19275184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850900"/>
                  </a:xfrm>
                  <a:prstGeom prst="rect">
                    <a:avLst/>
                  </a:prstGeom>
                  <a:noFill/>
                  <a:ln>
                    <a:noFill/>
                  </a:ln>
                </pic:spPr>
              </pic:pic>
            </a:graphicData>
          </a:graphic>
        </wp:anchor>
      </w:drawing>
    </w:r>
  </w:p>
  <w:p w14:paraId="14F7E8CD" w14:textId="77777777" w:rsidR="00FD5599" w:rsidRDefault="00FD5599" w:rsidP="00FD5599">
    <w:pPr>
      <w:pStyle w:val="Default"/>
      <w:rPr>
        <w:b/>
        <w:bCs/>
        <w:noProof/>
        <w:color w:val="2C2CB1"/>
        <w:sz w:val="28"/>
        <w:szCs w:val="28"/>
      </w:rPr>
    </w:pPr>
  </w:p>
  <w:p w14:paraId="05AABFF1" w14:textId="77777777" w:rsidR="00FD5599" w:rsidRDefault="00FD5599" w:rsidP="00FD5599">
    <w:pPr>
      <w:pStyle w:val="Default"/>
    </w:pPr>
    <w:r w:rsidRPr="007113FE">
      <w:rPr>
        <w:b/>
        <w:bCs/>
        <w:noProof/>
        <w:color w:val="2C2CB1"/>
        <w:sz w:val="28"/>
        <w:szCs w:val="28"/>
      </w:rPr>
      <w:drawing>
        <wp:anchor distT="0" distB="0" distL="114300" distR="114300" simplePos="0" relativeHeight="251660288" behindDoc="1" locked="0" layoutInCell="1" allowOverlap="1" wp14:anchorId="537EAF20" wp14:editId="3E114A4C">
          <wp:simplePos x="0" y="0"/>
          <wp:positionH relativeFrom="column">
            <wp:posOffset>5259516</wp:posOffset>
          </wp:positionH>
          <wp:positionV relativeFrom="paragraph">
            <wp:posOffset>25683</wp:posOffset>
          </wp:positionV>
          <wp:extent cx="1426210" cy="402590"/>
          <wp:effectExtent l="0" t="0" r="2540" b="0"/>
          <wp:wrapSquare wrapText="bothSides"/>
          <wp:docPr id="17785490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6210" cy="402590"/>
                  </a:xfrm>
                  <a:prstGeom prst="rect">
                    <a:avLst/>
                  </a:prstGeom>
                  <a:noFill/>
                  <a:ln>
                    <a:noFill/>
                  </a:ln>
                </pic:spPr>
              </pic:pic>
            </a:graphicData>
          </a:graphic>
        </wp:anchor>
      </w:drawing>
    </w:r>
  </w:p>
  <w:p w14:paraId="02922E43" w14:textId="77777777" w:rsidR="00FD5599" w:rsidRDefault="00FD5599" w:rsidP="00FD5599">
    <w:pPr>
      <w:pStyle w:val="Default"/>
    </w:pPr>
    <w:r>
      <w:t xml:space="preserve"> </w:t>
    </w:r>
    <w:proofErr w:type="gramStart"/>
    <w:r>
      <w:rPr>
        <w:b/>
        <w:bCs/>
        <w:color w:val="2C2CB1"/>
        <w:sz w:val="28"/>
        <w:szCs w:val="28"/>
      </w:rPr>
      <w:t>IEEE  TRANSACTIONS</w:t>
    </w:r>
    <w:proofErr w:type="gramEnd"/>
    <w:r>
      <w:rPr>
        <w:b/>
        <w:bCs/>
        <w:color w:val="2C2CB1"/>
        <w:sz w:val="28"/>
        <w:szCs w:val="28"/>
      </w:rPr>
      <w:t xml:space="preserve">  ON  POWER  ELECTRONICS</w:t>
    </w:r>
  </w:p>
  <w:p w14:paraId="6298E8D1" w14:textId="77777777" w:rsidR="00FD5599" w:rsidRDefault="00FD5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41457"/>
    <w:multiLevelType w:val="multilevel"/>
    <w:tmpl w:val="FE26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05779"/>
    <w:multiLevelType w:val="multilevel"/>
    <w:tmpl w:val="0A00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E47B4"/>
    <w:multiLevelType w:val="hybridMultilevel"/>
    <w:tmpl w:val="FDB00CE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9A684F"/>
    <w:multiLevelType w:val="multilevel"/>
    <w:tmpl w:val="B81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C22BD7"/>
    <w:multiLevelType w:val="hybridMultilevel"/>
    <w:tmpl w:val="342AB63A"/>
    <w:lvl w:ilvl="0" w:tplc="BAE8E0E4">
      <w:start w:val="1"/>
      <w:numFmt w:val="decimal"/>
      <w:lvlText w:val="%1)"/>
      <w:lvlJc w:val="left"/>
      <w:pPr>
        <w:ind w:left="700" w:hanging="360"/>
      </w:pPr>
      <w:rPr>
        <w:rFonts w:hint="default"/>
      </w:rPr>
    </w:lvl>
    <w:lvl w:ilvl="1" w:tplc="10090019" w:tentative="1">
      <w:start w:val="1"/>
      <w:numFmt w:val="lowerLetter"/>
      <w:lvlText w:val="%2."/>
      <w:lvlJc w:val="left"/>
      <w:pPr>
        <w:ind w:left="1420" w:hanging="360"/>
      </w:pPr>
    </w:lvl>
    <w:lvl w:ilvl="2" w:tplc="1009001B" w:tentative="1">
      <w:start w:val="1"/>
      <w:numFmt w:val="lowerRoman"/>
      <w:lvlText w:val="%3."/>
      <w:lvlJc w:val="right"/>
      <w:pPr>
        <w:ind w:left="2140" w:hanging="180"/>
      </w:pPr>
    </w:lvl>
    <w:lvl w:ilvl="3" w:tplc="1009000F" w:tentative="1">
      <w:start w:val="1"/>
      <w:numFmt w:val="decimal"/>
      <w:lvlText w:val="%4."/>
      <w:lvlJc w:val="left"/>
      <w:pPr>
        <w:ind w:left="2860" w:hanging="360"/>
      </w:pPr>
    </w:lvl>
    <w:lvl w:ilvl="4" w:tplc="10090019" w:tentative="1">
      <w:start w:val="1"/>
      <w:numFmt w:val="lowerLetter"/>
      <w:lvlText w:val="%5."/>
      <w:lvlJc w:val="left"/>
      <w:pPr>
        <w:ind w:left="3580" w:hanging="360"/>
      </w:pPr>
    </w:lvl>
    <w:lvl w:ilvl="5" w:tplc="1009001B" w:tentative="1">
      <w:start w:val="1"/>
      <w:numFmt w:val="lowerRoman"/>
      <w:lvlText w:val="%6."/>
      <w:lvlJc w:val="right"/>
      <w:pPr>
        <w:ind w:left="4300" w:hanging="180"/>
      </w:pPr>
    </w:lvl>
    <w:lvl w:ilvl="6" w:tplc="1009000F" w:tentative="1">
      <w:start w:val="1"/>
      <w:numFmt w:val="decimal"/>
      <w:lvlText w:val="%7."/>
      <w:lvlJc w:val="left"/>
      <w:pPr>
        <w:ind w:left="5020" w:hanging="360"/>
      </w:pPr>
    </w:lvl>
    <w:lvl w:ilvl="7" w:tplc="10090019" w:tentative="1">
      <w:start w:val="1"/>
      <w:numFmt w:val="lowerLetter"/>
      <w:lvlText w:val="%8."/>
      <w:lvlJc w:val="left"/>
      <w:pPr>
        <w:ind w:left="5740" w:hanging="360"/>
      </w:pPr>
    </w:lvl>
    <w:lvl w:ilvl="8" w:tplc="1009001B" w:tentative="1">
      <w:start w:val="1"/>
      <w:numFmt w:val="lowerRoman"/>
      <w:lvlText w:val="%9."/>
      <w:lvlJc w:val="right"/>
      <w:pPr>
        <w:ind w:left="6460" w:hanging="180"/>
      </w:pPr>
    </w:lvl>
  </w:abstractNum>
  <w:abstractNum w:abstractNumId="5" w15:restartNumberingAfterBreak="0">
    <w:nsid w:val="6BC7738B"/>
    <w:multiLevelType w:val="hybridMultilevel"/>
    <w:tmpl w:val="4B30CE1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4941B28"/>
    <w:multiLevelType w:val="hybridMultilevel"/>
    <w:tmpl w:val="DEBE9FB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ABD0321"/>
    <w:multiLevelType w:val="hybridMultilevel"/>
    <w:tmpl w:val="0E68EFE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14580552">
    <w:abstractNumId w:val="7"/>
  </w:num>
  <w:num w:numId="2" w16cid:durableId="1605267993">
    <w:abstractNumId w:val="6"/>
  </w:num>
  <w:num w:numId="3" w16cid:durableId="1355575550">
    <w:abstractNumId w:val="1"/>
  </w:num>
  <w:num w:numId="4" w16cid:durableId="1854681222">
    <w:abstractNumId w:val="2"/>
  </w:num>
  <w:num w:numId="5" w16cid:durableId="1957321768">
    <w:abstractNumId w:val="5"/>
  </w:num>
  <w:num w:numId="6" w16cid:durableId="191848385">
    <w:abstractNumId w:val="0"/>
  </w:num>
  <w:num w:numId="7" w16cid:durableId="273636657">
    <w:abstractNumId w:val="3"/>
  </w:num>
  <w:num w:numId="8" w16cid:durableId="266618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E3"/>
    <w:rsid w:val="000011F6"/>
    <w:rsid w:val="000042B8"/>
    <w:rsid w:val="000370BB"/>
    <w:rsid w:val="00052644"/>
    <w:rsid w:val="000952AD"/>
    <w:rsid w:val="000962E3"/>
    <w:rsid w:val="000A196E"/>
    <w:rsid w:val="000B03B0"/>
    <w:rsid w:val="000B3D1E"/>
    <w:rsid w:val="000B4371"/>
    <w:rsid w:val="00190209"/>
    <w:rsid w:val="001F3FF4"/>
    <w:rsid w:val="001F4F11"/>
    <w:rsid w:val="002067AB"/>
    <w:rsid w:val="00213ADC"/>
    <w:rsid w:val="00222AD1"/>
    <w:rsid w:val="00234272"/>
    <w:rsid w:val="00280E52"/>
    <w:rsid w:val="002870E9"/>
    <w:rsid w:val="002A2B1F"/>
    <w:rsid w:val="002C2EF9"/>
    <w:rsid w:val="002E3AE4"/>
    <w:rsid w:val="00341DD8"/>
    <w:rsid w:val="00351351"/>
    <w:rsid w:val="00370B8C"/>
    <w:rsid w:val="003875DD"/>
    <w:rsid w:val="003A30C1"/>
    <w:rsid w:val="003D36BF"/>
    <w:rsid w:val="003E1124"/>
    <w:rsid w:val="003F5560"/>
    <w:rsid w:val="00415E47"/>
    <w:rsid w:val="00493C4D"/>
    <w:rsid w:val="00500E10"/>
    <w:rsid w:val="0054699D"/>
    <w:rsid w:val="005843EE"/>
    <w:rsid w:val="00586360"/>
    <w:rsid w:val="0058760B"/>
    <w:rsid w:val="005C30B9"/>
    <w:rsid w:val="005F2871"/>
    <w:rsid w:val="00621F3F"/>
    <w:rsid w:val="006318D4"/>
    <w:rsid w:val="00651832"/>
    <w:rsid w:val="00692FEC"/>
    <w:rsid w:val="006D6D2E"/>
    <w:rsid w:val="006F01A7"/>
    <w:rsid w:val="006F6883"/>
    <w:rsid w:val="00706832"/>
    <w:rsid w:val="007719F4"/>
    <w:rsid w:val="00773B36"/>
    <w:rsid w:val="00786C6C"/>
    <w:rsid w:val="0086401A"/>
    <w:rsid w:val="00870D3D"/>
    <w:rsid w:val="00874DD4"/>
    <w:rsid w:val="008D2CE1"/>
    <w:rsid w:val="008F2B33"/>
    <w:rsid w:val="008F3C53"/>
    <w:rsid w:val="00915265"/>
    <w:rsid w:val="00931A5B"/>
    <w:rsid w:val="009500FF"/>
    <w:rsid w:val="00964FD5"/>
    <w:rsid w:val="0097377C"/>
    <w:rsid w:val="00977C2A"/>
    <w:rsid w:val="00A46450"/>
    <w:rsid w:val="00A770D0"/>
    <w:rsid w:val="00A81DA4"/>
    <w:rsid w:val="00B04AD8"/>
    <w:rsid w:val="00B34757"/>
    <w:rsid w:val="00B41C5F"/>
    <w:rsid w:val="00B63413"/>
    <w:rsid w:val="00B872F8"/>
    <w:rsid w:val="00BC6810"/>
    <w:rsid w:val="00C230B4"/>
    <w:rsid w:val="00C84562"/>
    <w:rsid w:val="00D02BC2"/>
    <w:rsid w:val="00D24D5D"/>
    <w:rsid w:val="00D668BF"/>
    <w:rsid w:val="00D66D5B"/>
    <w:rsid w:val="00DF6208"/>
    <w:rsid w:val="00E41F84"/>
    <w:rsid w:val="00E65F75"/>
    <w:rsid w:val="00EB351A"/>
    <w:rsid w:val="00EC4D80"/>
    <w:rsid w:val="00EF69D0"/>
    <w:rsid w:val="00F171CB"/>
    <w:rsid w:val="00F423B2"/>
    <w:rsid w:val="00F51BF0"/>
    <w:rsid w:val="00F562EE"/>
    <w:rsid w:val="00F6348A"/>
    <w:rsid w:val="00F6420A"/>
    <w:rsid w:val="00F67BE6"/>
    <w:rsid w:val="00FA1533"/>
    <w:rsid w:val="00FA1C0E"/>
    <w:rsid w:val="00FC0738"/>
    <w:rsid w:val="00FC2F6E"/>
    <w:rsid w:val="00FD4C93"/>
    <w:rsid w:val="00FD55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D0E9F"/>
  <w15:chartTrackingRefBased/>
  <w15:docId w15:val="{D206F0AC-6C2A-439C-B18C-0DAA52E1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96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6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6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6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6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6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6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6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6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6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6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6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6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6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6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62E3"/>
    <w:rPr>
      <w:rFonts w:eastAsiaTheme="majorEastAsia" w:cstheme="majorBidi"/>
      <w:color w:val="272727" w:themeColor="text1" w:themeTint="D8"/>
    </w:rPr>
  </w:style>
  <w:style w:type="paragraph" w:styleId="Title">
    <w:name w:val="Title"/>
    <w:basedOn w:val="Normal"/>
    <w:next w:val="Normal"/>
    <w:link w:val="TitleChar"/>
    <w:uiPriority w:val="10"/>
    <w:qFormat/>
    <w:rsid w:val="00096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6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6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6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62E3"/>
    <w:pPr>
      <w:spacing w:before="160"/>
      <w:jc w:val="center"/>
    </w:pPr>
    <w:rPr>
      <w:i/>
      <w:iCs/>
      <w:color w:val="404040" w:themeColor="text1" w:themeTint="BF"/>
    </w:rPr>
  </w:style>
  <w:style w:type="character" w:customStyle="1" w:styleId="QuoteChar">
    <w:name w:val="Quote Char"/>
    <w:basedOn w:val="DefaultParagraphFont"/>
    <w:link w:val="Quote"/>
    <w:uiPriority w:val="29"/>
    <w:rsid w:val="000962E3"/>
    <w:rPr>
      <w:i/>
      <w:iCs/>
      <w:color w:val="404040" w:themeColor="text1" w:themeTint="BF"/>
    </w:rPr>
  </w:style>
  <w:style w:type="paragraph" w:styleId="ListParagraph">
    <w:name w:val="List Paragraph"/>
    <w:basedOn w:val="Normal"/>
    <w:uiPriority w:val="34"/>
    <w:qFormat/>
    <w:rsid w:val="000962E3"/>
    <w:pPr>
      <w:ind w:left="720"/>
      <w:contextualSpacing/>
    </w:pPr>
  </w:style>
  <w:style w:type="character" w:styleId="IntenseEmphasis">
    <w:name w:val="Intense Emphasis"/>
    <w:basedOn w:val="DefaultParagraphFont"/>
    <w:uiPriority w:val="21"/>
    <w:qFormat/>
    <w:rsid w:val="000962E3"/>
    <w:rPr>
      <w:i/>
      <w:iCs/>
      <w:color w:val="0F4761" w:themeColor="accent1" w:themeShade="BF"/>
    </w:rPr>
  </w:style>
  <w:style w:type="paragraph" w:styleId="IntenseQuote">
    <w:name w:val="Intense Quote"/>
    <w:basedOn w:val="Normal"/>
    <w:next w:val="Normal"/>
    <w:link w:val="IntenseQuoteChar"/>
    <w:uiPriority w:val="30"/>
    <w:qFormat/>
    <w:rsid w:val="00096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62E3"/>
    <w:rPr>
      <w:i/>
      <w:iCs/>
      <w:color w:val="0F4761" w:themeColor="accent1" w:themeShade="BF"/>
    </w:rPr>
  </w:style>
  <w:style w:type="character" w:styleId="IntenseReference">
    <w:name w:val="Intense Reference"/>
    <w:basedOn w:val="DefaultParagraphFont"/>
    <w:uiPriority w:val="32"/>
    <w:qFormat/>
    <w:rsid w:val="000962E3"/>
    <w:rPr>
      <w:b/>
      <w:bCs/>
      <w:smallCaps/>
      <w:color w:val="0F4761" w:themeColor="accent1" w:themeShade="BF"/>
      <w:spacing w:val="5"/>
    </w:rPr>
  </w:style>
  <w:style w:type="character" w:styleId="Hyperlink">
    <w:name w:val="Hyperlink"/>
    <w:basedOn w:val="DefaultParagraphFont"/>
    <w:uiPriority w:val="99"/>
    <w:unhideWhenUsed/>
    <w:rsid w:val="00931A5B"/>
    <w:rPr>
      <w:color w:val="467886" w:themeColor="hyperlink"/>
      <w:u w:val="single"/>
    </w:rPr>
  </w:style>
  <w:style w:type="character" w:styleId="UnresolvedMention">
    <w:name w:val="Unresolved Mention"/>
    <w:basedOn w:val="DefaultParagraphFont"/>
    <w:uiPriority w:val="99"/>
    <w:semiHidden/>
    <w:unhideWhenUsed/>
    <w:rsid w:val="00931A5B"/>
    <w:rPr>
      <w:color w:val="605E5C"/>
      <w:shd w:val="clear" w:color="auto" w:fill="E1DFDD"/>
    </w:rPr>
  </w:style>
  <w:style w:type="table" w:styleId="TableGrid">
    <w:name w:val="Table Grid"/>
    <w:basedOn w:val="TableNormal"/>
    <w:uiPriority w:val="39"/>
    <w:rsid w:val="00931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
    <w:name w:val="top"/>
    <w:basedOn w:val="Normal"/>
    <w:rsid w:val="00F423B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unhideWhenUsed/>
    <w:rsid w:val="00F423B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F423B2"/>
    <w:rPr>
      <w:b/>
      <w:bCs/>
    </w:rPr>
  </w:style>
  <w:style w:type="character" w:customStyle="1" w:styleId="nowrap">
    <w:name w:val="nowrap"/>
    <w:basedOn w:val="DefaultParagraphFont"/>
    <w:rsid w:val="00F423B2"/>
  </w:style>
  <w:style w:type="character" w:styleId="FollowedHyperlink">
    <w:name w:val="FollowedHyperlink"/>
    <w:basedOn w:val="DefaultParagraphFont"/>
    <w:uiPriority w:val="99"/>
    <w:semiHidden/>
    <w:unhideWhenUsed/>
    <w:rsid w:val="00493C4D"/>
    <w:rPr>
      <w:color w:val="96607D" w:themeColor="followedHyperlink"/>
      <w:u w:val="single"/>
    </w:rPr>
  </w:style>
  <w:style w:type="paragraph" w:styleId="Header">
    <w:name w:val="header"/>
    <w:basedOn w:val="Normal"/>
    <w:link w:val="HeaderChar"/>
    <w:uiPriority w:val="99"/>
    <w:unhideWhenUsed/>
    <w:rsid w:val="00FD5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599"/>
  </w:style>
  <w:style w:type="paragraph" w:styleId="Footer">
    <w:name w:val="footer"/>
    <w:basedOn w:val="Normal"/>
    <w:link w:val="FooterChar"/>
    <w:uiPriority w:val="99"/>
    <w:unhideWhenUsed/>
    <w:rsid w:val="00FD5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599"/>
  </w:style>
  <w:style w:type="paragraph" w:customStyle="1" w:styleId="Default">
    <w:name w:val="Default"/>
    <w:rsid w:val="00FD5599"/>
    <w:pPr>
      <w:autoSpaceDE w:val="0"/>
      <w:autoSpaceDN w:val="0"/>
      <w:adjustRightInd w:val="0"/>
      <w:spacing w:after="0" w:line="240" w:lineRule="auto"/>
    </w:pPr>
    <w:rPr>
      <w:rFonts w:ascii="Tahoma" w:hAnsi="Tahoma" w:cs="Tahom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1010">
      <w:bodyDiv w:val="1"/>
      <w:marLeft w:val="0"/>
      <w:marRight w:val="0"/>
      <w:marTop w:val="0"/>
      <w:marBottom w:val="0"/>
      <w:divBdr>
        <w:top w:val="none" w:sz="0" w:space="0" w:color="auto"/>
        <w:left w:val="none" w:sz="0" w:space="0" w:color="auto"/>
        <w:bottom w:val="none" w:sz="0" w:space="0" w:color="auto"/>
        <w:right w:val="none" w:sz="0" w:space="0" w:color="auto"/>
      </w:divBdr>
    </w:div>
    <w:div w:id="131599834">
      <w:bodyDiv w:val="1"/>
      <w:marLeft w:val="0"/>
      <w:marRight w:val="0"/>
      <w:marTop w:val="0"/>
      <w:marBottom w:val="0"/>
      <w:divBdr>
        <w:top w:val="none" w:sz="0" w:space="0" w:color="auto"/>
        <w:left w:val="none" w:sz="0" w:space="0" w:color="auto"/>
        <w:bottom w:val="none" w:sz="0" w:space="0" w:color="auto"/>
        <w:right w:val="none" w:sz="0" w:space="0" w:color="auto"/>
      </w:divBdr>
      <w:divsChild>
        <w:div w:id="1122654878">
          <w:marLeft w:val="0"/>
          <w:marRight w:val="0"/>
          <w:marTop w:val="0"/>
          <w:marBottom w:val="0"/>
          <w:divBdr>
            <w:top w:val="none" w:sz="0" w:space="0" w:color="auto"/>
            <w:left w:val="none" w:sz="0" w:space="0" w:color="auto"/>
            <w:bottom w:val="none" w:sz="0" w:space="0" w:color="auto"/>
            <w:right w:val="none" w:sz="0" w:space="0" w:color="auto"/>
          </w:divBdr>
        </w:div>
      </w:divsChild>
    </w:div>
    <w:div w:id="174462488">
      <w:bodyDiv w:val="1"/>
      <w:marLeft w:val="0"/>
      <w:marRight w:val="0"/>
      <w:marTop w:val="0"/>
      <w:marBottom w:val="0"/>
      <w:divBdr>
        <w:top w:val="none" w:sz="0" w:space="0" w:color="auto"/>
        <w:left w:val="none" w:sz="0" w:space="0" w:color="auto"/>
        <w:bottom w:val="none" w:sz="0" w:space="0" w:color="auto"/>
        <w:right w:val="none" w:sz="0" w:space="0" w:color="auto"/>
      </w:divBdr>
    </w:div>
    <w:div w:id="488711723">
      <w:bodyDiv w:val="1"/>
      <w:marLeft w:val="0"/>
      <w:marRight w:val="0"/>
      <w:marTop w:val="0"/>
      <w:marBottom w:val="0"/>
      <w:divBdr>
        <w:top w:val="none" w:sz="0" w:space="0" w:color="auto"/>
        <w:left w:val="none" w:sz="0" w:space="0" w:color="auto"/>
        <w:bottom w:val="none" w:sz="0" w:space="0" w:color="auto"/>
        <w:right w:val="none" w:sz="0" w:space="0" w:color="auto"/>
      </w:divBdr>
    </w:div>
    <w:div w:id="536891503">
      <w:bodyDiv w:val="1"/>
      <w:marLeft w:val="0"/>
      <w:marRight w:val="0"/>
      <w:marTop w:val="0"/>
      <w:marBottom w:val="0"/>
      <w:divBdr>
        <w:top w:val="none" w:sz="0" w:space="0" w:color="auto"/>
        <w:left w:val="none" w:sz="0" w:space="0" w:color="auto"/>
        <w:bottom w:val="none" w:sz="0" w:space="0" w:color="auto"/>
        <w:right w:val="none" w:sz="0" w:space="0" w:color="auto"/>
      </w:divBdr>
      <w:divsChild>
        <w:div w:id="1603688026">
          <w:marLeft w:val="0"/>
          <w:marRight w:val="0"/>
          <w:marTop w:val="0"/>
          <w:marBottom w:val="0"/>
          <w:divBdr>
            <w:top w:val="none" w:sz="0" w:space="0" w:color="auto"/>
            <w:left w:val="none" w:sz="0" w:space="0" w:color="auto"/>
            <w:bottom w:val="none" w:sz="0" w:space="0" w:color="auto"/>
            <w:right w:val="none" w:sz="0" w:space="0" w:color="auto"/>
          </w:divBdr>
        </w:div>
        <w:div w:id="1576890915">
          <w:marLeft w:val="0"/>
          <w:marRight w:val="0"/>
          <w:marTop w:val="0"/>
          <w:marBottom w:val="0"/>
          <w:divBdr>
            <w:top w:val="none" w:sz="0" w:space="0" w:color="auto"/>
            <w:left w:val="none" w:sz="0" w:space="0" w:color="auto"/>
            <w:bottom w:val="none" w:sz="0" w:space="0" w:color="auto"/>
            <w:right w:val="none" w:sz="0" w:space="0" w:color="auto"/>
          </w:divBdr>
        </w:div>
        <w:div w:id="1384718792">
          <w:marLeft w:val="0"/>
          <w:marRight w:val="0"/>
          <w:marTop w:val="0"/>
          <w:marBottom w:val="0"/>
          <w:divBdr>
            <w:top w:val="none" w:sz="0" w:space="0" w:color="auto"/>
            <w:left w:val="none" w:sz="0" w:space="0" w:color="auto"/>
            <w:bottom w:val="none" w:sz="0" w:space="0" w:color="auto"/>
            <w:right w:val="none" w:sz="0" w:space="0" w:color="auto"/>
          </w:divBdr>
        </w:div>
        <w:div w:id="436099400">
          <w:marLeft w:val="0"/>
          <w:marRight w:val="0"/>
          <w:marTop w:val="0"/>
          <w:marBottom w:val="0"/>
          <w:divBdr>
            <w:top w:val="none" w:sz="0" w:space="0" w:color="auto"/>
            <w:left w:val="none" w:sz="0" w:space="0" w:color="auto"/>
            <w:bottom w:val="none" w:sz="0" w:space="0" w:color="auto"/>
            <w:right w:val="none" w:sz="0" w:space="0" w:color="auto"/>
          </w:divBdr>
        </w:div>
        <w:div w:id="927731981">
          <w:marLeft w:val="0"/>
          <w:marRight w:val="0"/>
          <w:marTop w:val="0"/>
          <w:marBottom w:val="0"/>
          <w:divBdr>
            <w:top w:val="none" w:sz="0" w:space="0" w:color="auto"/>
            <w:left w:val="none" w:sz="0" w:space="0" w:color="auto"/>
            <w:bottom w:val="none" w:sz="0" w:space="0" w:color="auto"/>
            <w:right w:val="none" w:sz="0" w:space="0" w:color="auto"/>
          </w:divBdr>
        </w:div>
      </w:divsChild>
    </w:div>
    <w:div w:id="1037853980">
      <w:bodyDiv w:val="1"/>
      <w:marLeft w:val="0"/>
      <w:marRight w:val="0"/>
      <w:marTop w:val="0"/>
      <w:marBottom w:val="0"/>
      <w:divBdr>
        <w:top w:val="none" w:sz="0" w:space="0" w:color="auto"/>
        <w:left w:val="none" w:sz="0" w:space="0" w:color="auto"/>
        <w:bottom w:val="none" w:sz="0" w:space="0" w:color="auto"/>
        <w:right w:val="none" w:sz="0" w:space="0" w:color="auto"/>
      </w:divBdr>
    </w:div>
    <w:div w:id="1094593886">
      <w:bodyDiv w:val="1"/>
      <w:marLeft w:val="0"/>
      <w:marRight w:val="0"/>
      <w:marTop w:val="0"/>
      <w:marBottom w:val="0"/>
      <w:divBdr>
        <w:top w:val="none" w:sz="0" w:space="0" w:color="auto"/>
        <w:left w:val="none" w:sz="0" w:space="0" w:color="auto"/>
        <w:bottom w:val="none" w:sz="0" w:space="0" w:color="auto"/>
        <w:right w:val="none" w:sz="0" w:space="0" w:color="auto"/>
      </w:divBdr>
    </w:div>
    <w:div w:id="1797945640">
      <w:bodyDiv w:val="1"/>
      <w:marLeft w:val="0"/>
      <w:marRight w:val="0"/>
      <w:marTop w:val="0"/>
      <w:marBottom w:val="0"/>
      <w:divBdr>
        <w:top w:val="none" w:sz="0" w:space="0" w:color="auto"/>
        <w:left w:val="none" w:sz="0" w:space="0" w:color="auto"/>
        <w:bottom w:val="none" w:sz="0" w:space="0" w:color="auto"/>
        <w:right w:val="none" w:sz="0" w:space="0" w:color="auto"/>
      </w:divBdr>
    </w:div>
    <w:div w:id="201873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Xplorehelp/overview-of-ieee-xplore/accessibility-statement" TargetMode="External"/><Relationship Id="rId13" Type="http://schemas.openxmlformats.org/officeDocument/2006/relationships/hyperlink" Target="mailto:eventconduct@ieee.org" TargetMode="External"/><Relationship Id="rId18" Type="http://schemas.openxmlformats.org/officeDocument/2006/relationships/hyperlink" Target="https://journals.ieeeauthorcenter.ieee.org/create-your-ieee-journal-article/create-graphics-for-your-articl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ournals.ieeeauthorcenter.ieee.org/become-an-ieee-journal-author/publishing-ethics/guidelines-and-policies/ieee-author-name-change-policy/" TargetMode="External"/><Relationship Id="rId7" Type="http://schemas.openxmlformats.org/officeDocument/2006/relationships/hyperlink" Target="mailto:onlinesupport@ieee.org" TargetMode="External"/><Relationship Id="rId12" Type="http://schemas.openxmlformats.org/officeDocument/2006/relationships/hyperlink" Target="https://secure.ethicspoint.com/domain/media/en/gui/20410/index.html" TargetMode="External"/><Relationship Id="rId17" Type="http://schemas.openxmlformats.org/officeDocument/2006/relationships/hyperlink" Target="https://www.ieee.org/content/dam/ieee-org/ieee/web/org/about/whatis/nondiscrimination.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eee.org/about/corporate/governance/p9-26.html" TargetMode="External"/><Relationship Id="rId20" Type="http://schemas.openxmlformats.org/officeDocument/2006/relationships/hyperlink" Target="https://engage.ieee.org/Author-Center-Authors-Newsletter-Opt-i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ee.org/about/corporate/governance/p7-8.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eee.org/content/dam/ieee-org/ieee/web/org/conferences/Event%20Conduct%20and%20Safety%20Statement.pdf" TargetMode="External"/><Relationship Id="rId23" Type="http://schemas.openxmlformats.org/officeDocument/2006/relationships/header" Target="header1.xml"/><Relationship Id="rId10" Type="http://schemas.openxmlformats.org/officeDocument/2006/relationships/hyperlink" Target="https://ieeexplore.ieee.org/Xplorehelp/overview-of-ieee-xplore/accessibility-statement" TargetMode="External"/><Relationship Id="rId19" Type="http://schemas.openxmlformats.org/officeDocument/2006/relationships/hyperlink" Target="https://ieeexplore.ieee.org/document/8100841" TargetMode="External"/><Relationship Id="rId4" Type="http://schemas.openxmlformats.org/officeDocument/2006/relationships/webSettings" Target="webSettings.xml"/><Relationship Id="rId9" Type="http://schemas.openxmlformats.org/officeDocument/2006/relationships/hyperlink" Target="https://www.ieee.org/accessibility-statement.html" TargetMode="External"/><Relationship Id="rId14" Type="http://schemas.openxmlformats.org/officeDocument/2006/relationships/hyperlink" Target="https://ieeemce.org/planning-basics/general-guidelines/ieee-event-conduct-and-safety-statement-for-conferences/" TargetMode="External"/><Relationship Id="rId22" Type="http://schemas.openxmlformats.org/officeDocument/2006/relationships/hyperlink" Target="https://journals.ieeeauthorcenter.ieee.org/wp-content/uploads/sites/7/IEEE-Editorial-Style-Manual-for-Autho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11</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Haozhe Liu</dc:creator>
  <cp:keywords/>
  <dc:description/>
  <cp:lastModifiedBy>Haozhe Liu</cp:lastModifiedBy>
  <cp:revision>65</cp:revision>
  <dcterms:created xsi:type="dcterms:W3CDTF">2024-09-06T20:19:00Z</dcterms:created>
  <dcterms:modified xsi:type="dcterms:W3CDTF">2024-09-10T17:36:00Z</dcterms:modified>
</cp:coreProperties>
</file>